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方正小标宋简体" w:hAnsi="宋体" w:eastAsia="方正小标宋简体"/>
          <w:sz w:val="44"/>
        </w:rPr>
      </w:pPr>
      <w:bookmarkStart w:id="0" w:name="发文标题"/>
      <w:r>
        <w:rPr>
          <w:rFonts w:hint="eastAsia" w:ascii="方正小标宋简体" w:hAnsi="宋体" w:eastAsia="方正小标宋简体"/>
          <w:sz w:val="44"/>
          <w:lang w:val="en-US" w:eastAsia="zh-CN"/>
        </w:rPr>
        <w:t>关于调整部分期货品种申报费的通知</w:t>
      </w:r>
      <w:bookmarkEnd w:id="0"/>
    </w:p>
    <w:p>
      <w:pPr>
        <w:spacing w:beforeLines="50" w:line="300" w:lineRule="exact"/>
        <w:jc w:val="center"/>
        <w:rPr>
          <w:rFonts w:ascii="仿宋" w:hAnsi="仿宋" w:eastAsia="仿宋"/>
          <w:sz w:val="32"/>
          <w:szCs w:val="32"/>
        </w:rPr>
      </w:pPr>
      <w:r>
        <w:rPr>
          <w:rFonts w:hint="eastAsia" w:ascii="仿宋" w:hAnsi="仿宋" w:eastAsia="仿宋"/>
          <w:color w:val="000000"/>
          <w:kern w:val="0"/>
          <w:sz w:val="32"/>
          <w:szCs w:val="32"/>
          <w:lang w:val="en-US" w:eastAsia="zh-CN"/>
        </w:rPr>
        <w:t>郑商函〔2024〕302号</w:t>
      </w:r>
    </w:p>
    <w:p>
      <w:pPr>
        <w:jc w:val="center"/>
        <w:rPr>
          <w:rFonts w:ascii="仿宋" w:hAnsi="仿宋" w:eastAsia="仿宋"/>
          <w:sz w:val="32"/>
          <w:szCs w:val="32"/>
        </w:rPr>
      </w:pPr>
    </w:p>
    <w:p>
      <w:pPr>
        <w:rPr>
          <w:rFonts w:ascii="仿宋" w:hAnsi="仿宋" w:eastAsia="仿宋"/>
          <w:sz w:val="32"/>
          <w:szCs w:val="32"/>
        </w:rPr>
      </w:pPr>
      <w:bookmarkStart w:id="1" w:name="主送单位"/>
      <w:r>
        <w:rPr>
          <w:rFonts w:hint="eastAsia" w:ascii="仿宋" w:hAnsi="仿宋" w:eastAsia="仿宋"/>
          <w:sz w:val="32"/>
          <w:lang w:val="en-US" w:eastAsia="zh-CN"/>
        </w:rPr>
        <w:t>各会员单位：</w:t>
      </w:r>
      <w:bookmarkEnd w:id="1"/>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根据《郑州商品交易所期货结算</w:t>
      </w:r>
      <w:r>
        <w:rPr>
          <w:rFonts w:hint="eastAsia" w:ascii="Times New Roman" w:hAnsi="Times New Roman" w:eastAsia="仿宋" w:cs="Times New Roman"/>
          <w:sz w:val="32"/>
          <w:szCs w:val="32"/>
          <w:lang w:eastAsia="zh-CN"/>
        </w:rPr>
        <w:t>管理办法</w:t>
      </w:r>
      <w:r>
        <w:rPr>
          <w:rFonts w:hint="eastAsia" w:ascii="Times New Roman" w:hAnsi="Times New Roman" w:eastAsia="仿宋" w:cs="Times New Roman"/>
          <w:sz w:val="32"/>
          <w:szCs w:val="32"/>
        </w:rPr>
        <w:t>》第二十七条规定，经研究决定，自</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w:t>
      </w:r>
      <w:r>
        <w:rPr>
          <w:rFonts w:hint="eastAsia" w:eastAsia="仿宋" w:cs="Times New Roman"/>
          <w:sz w:val="32"/>
          <w:szCs w:val="32"/>
          <w:lang w:val="en-US" w:eastAsia="zh-CN"/>
        </w:rPr>
        <w:t>5</w:t>
      </w:r>
      <w:r>
        <w:rPr>
          <w:rFonts w:hint="eastAsia" w:ascii="Times New Roman" w:hAnsi="Times New Roman" w:eastAsia="仿宋" w:cs="Times New Roman"/>
          <w:sz w:val="32"/>
          <w:szCs w:val="32"/>
        </w:rPr>
        <w:t>月</w:t>
      </w:r>
      <w:r>
        <w:rPr>
          <w:rFonts w:hint="eastAsia" w:eastAsia="仿宋" w:cs="Times New Roman"/>
          <w:sz w:val="32"/>
          <w:szCs w:val="32"/>
          <w:lang w:val="en-US" w:eastAsia="zh-CN"/>
        </w:rPr>
        <w:t>31</w:t>
      </w:r>
      <w:r>
        <w:rPr>
          <w:rFonts w:hint="eastAsia" w:ascii="Times New Roman" w:hAnsi="Times New Roman" w:eastAsia="仿宋" w:cs="Times New Roman"/>
          <w:sz w:val="32"/>
          <w:szCs w:val="32"/>
        </w:rPr>
        <w:t>日</w:t>
      </w:r>
      <w:r>
        <w:rPr>
          <w:rFonts w:hint="eastAsia" w:eastAsia="仿宋" w:cs="Times New Roman"/>
          <w:sz w:val="32"/>
          <w:szCs w:val="32"/>
          <w:lang w:eastAsia="zh-CN"/>
        </w:rPr>
        <w:t>当晚夜盘</w:t>
      </w:r>
      <w:r>
        <w:rPr>
          <w:rFonts w:hint="eastAsia" w:ascii="Times New Roman" w:hAnsi="Times New Roman" w:eastAsia="仿宋" w:cs="Times New Roman"/>
          <w:sz w:val="32"/>
          <w:szCs w:val="32"/>
        </w:rPr>
        <w:t>交易时起，对甲醇、白糖、菜油、菜粕、短纤、花生</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22"/>
        </w:rPr>
        <w:t>PTA</w:t>
      </w:r>
      <w:r>
        <w:rPr>
          <w:rFonts w:hint="eastAsia" w:ascii="Times New Roman" w:hAnsi="Times New Roman" w:eastAsia="仿宋" w:cs="Times New Roman"/>
          <w:sz w:val="32"/>
          <w:szCs w:val="22"/>
        </w:rPr>
        <w:t>期货合约申报费收费标准进行调整</w:t>
      </w:r>
      <w:r>
        <w:rPr>
          <w:rFonts w:hint="eastAsia" w:ascii="Times New Roman" w:hAnsi="Times New Roman" w:eastAsia="仿宋" w:cs="Times New Roman"/>
          <w:sz w:val="32"/>
          <w:szCs w:val="32"/>
        </w:rPr>
        <w:t>，具体如下：</w:t>
      </w:r>
    </w:p>
    <w:tbl>
      <w:tblPr>
        <w:tblStyle w:val="8"/>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36"/>
        <w:gridCol w:w="4014"/>
        <w:gridCol w:w="114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 w:hRule="atLeast"/>
          <w:jc w:val="center"/>
        </w:trPr>
        <w:tc>
          <w:tcPr>
            <w:tcW w:w="2036"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品种</w:t>
            </w:r>
          </w:p>
        </w:tc>
        <w:tc>
          <w:tcPr>
            <w:tcW w:w="401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信息量</w:t>
            </w:r>
          </w:p>
        </w:tc>
        <w:tc>
          <w:tcPr>
            <w:tcW w:w="114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OTR≤2</w:t>
            </w:r>
          </w:p>
        </w:tc>
        <w:tc>
          <w:tcPr>
            <w:tcW w:w="12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OTR</w:t>
            </w:r>
            <w:r>
              <w:rPr>
                <w:rFonts w:hint="eastAsia" w:ascii="Times New Roman" w:hAnsi="Times New Roman" w:eastAsia="宋体" w:cs="宋体"/>
                <w:b/>
                <w:bCs/>
                <w:color w:val="00000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甲醇、菜油、菜粕、白糖期货</w:t>
            </w: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≤4000笔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4000</w:t>
            </w:r>
            <w:r>
              <w:rPr>
                <w:rFonts w:hint="eastAsia" w:ascii="Times New Roman" w:hAnsi="Times New Roman" w:eastAsia="宋体" w:cs="宋体"/>
                <w:b w:val="0"/>
                <w:color w:val="000000"/>
                <w:sz w:val="22"/>
                <w:szCs w:val="22"/>
                <w:highlight w:val="none"/>
                <w:u w:val="none"/>
                <w:lang w:val="en-US" w:eastAsia="zh-CN" w:bidi="ar"/>
              </w:rPr>
              <w:t>笔＜信息量≤8000笔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3元/笔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7.5元/笔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15元/笔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短纤、花生期货</w:t>
            </w: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≤4000笔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4000</w:t>
            </w:r>
            <w:r>
              <w:rPr>
                <w:rFonts w:hint="eastAsia" w:ascii="Times New Roman" w:hAnsi="Times New Roman" w:eastAsia="宋体" w:cs="宋体"/>
                <w:b w:val="0"/>
                <w:color w:val="000000"/>
                <w:sz w:val="22"/>
                <w:szCs w:val="22"/>
                <w:highlight w:val="none"/>
                <w:u w:val="none"/>
                <w:lang w:val="en-US" w:eastAsia="zh-CN" w:bidi="ar"/>
              </w:rPr>
              <w:t>笔＜信息量≤8000笔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＞8000笔</w:t>
            </w:r>
          </w:p>
        </w:tc>
        <w:tc>
          <w:tcPr>
            <w:tcW w:w="114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2.5元/笔</w:t>
            </w:r>
          </w:p>
        </w:tc>
        <w:tc>
          <w:tcPr>
            <w:tcW w:w="12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5元/笔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PTA</w:t>
            </w:r>
            <w:r>
              <w:rPr>
                <w:rFonts w:hint="eastAsia" w:ascii="Times New Roman" w:hAnsi="Times New Roman" w:eastAsia="宋体" w:cs="宋体"/>
                <w:b w:val="0"/>
                <w:color w:val="000000"/>
                <w:sz w:val="22"/>
                <w:szCs w:val="22"/>
                <w:highlight w:val="none"/>
                <w:u w:val="none"/>
                <w:lang w:val="en-US" w:eastAsia="zh-CN" w:bidi="ar"/>
              </w:rPr>
              <w:t>期货</w:t>
            </w: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≤4000笔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4000</w:t>
            </w:r>
            <w:r>
              <w:rPr>
                <w:rFonts w:hint="eastAsia" w:ascii="Times New Roman" w:hAnsi="Times New Roman" w:eastAsia="宋体" w:cs="宋体"/>
                <w:b w:val="0"/>
                <w:color w:val="000000"/>
                <w:sz w:val="22"/>
                <w:szCs w:val="22"/>
                <w:highlight w:val="none"/>
                <w:u w:val="none"/>
                <w:lang w:val="en-US" w:eastAsia="zh-CN" w:bidi="ar"/>
              </w:rPr>
              <w:t>笔＜信息量≤8000笔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2元/笔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8000</w:t>
            </w:r>
            <w:r>
              <w:rPr>
                <w:rFonts w:hint="eastAsia" w:ascii="Times New Roman" w:hAnsi="Times New Roman" w:eastAsia="宋体" w:cs="宋体"/>
                <w:b w:val="0"/>
                <w:color w:val="000000"/>
                <w:sz w:val="22"/>
                <w:szCs w:val="22"/>
                <w:highlight w:val="none"/>
                <w:u w:val="none"/>
                <w:lang w:val="en-US" w:eastAsia="zh-CN" w:bidi="ar"/>
              </w:rPr>
              <w:t>笔＜信息量≤20000笔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5元/笔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10元/笔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＞20000笔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w:t>
            </w:r>
            <w:r>
              <w:rPr>
                <w:rFonts w:hint="eastAsia" w:ascii="Times New Roman" w:hAnsi="Times New Roman" w:eastAsia="宋体" w:cs="宋体"/>
                <w:b w:val="0"/>
                <w:color w:val="000000"/>
                <w:sz w:val="22"/>
                <w:szCs w:val="22"/>
                <w:highlight w:val="none"/>
                <w:u w:val="none"/>
                <w:lang w:val="en-US" w:eastAsia="zh-CN" w:bidi="ar"/>
              </w:rPr>
              <w:t>元/笔</w:t>
            </w:r>
          </w:p>
        </w:tc>
      </w:tr>
    </w:tbl>
    <w:p>
      <w:pPr>
        <w:ind w:firstLine="640"/>
        <w:rPr>
          <w:rFonts w:hint="default"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期货公司会员应当切实加强客户交易行为管理，采取实际有效措施，</w:t>
      </w:r>
      <w:r>
        <w:rPr>
          <w:rFonts w:hint="eastAsia" w:ascii="Times New Roman" w:hAnsi="Times New Roman" w:eastAsia="仿宋" w:cs="Times New Roman"/>
          <w:sz w:val="32"/>
          <w:highlight w:val="none"/>
          <w:lang w:val="en-US" w:eastAsia="zh-CN"/>
        </w:rPr>
        <w:t>防范客户出现因申报费透支导致资金不足的情形。</w:t>
      </w:r>
    </w:p>
    <w:p>
      <w:pPr>
        <w:ind w:firstLine="640"/>
        <w:rPr>
          <w:rFonts w:ascii="Times New Roman" w:hAnsi="Times New Roman" w:eastAsia="仿宋" w:cs="Times New Roman"/>
          <w:sz w:val="32"/>
        </w:rPr>
      </w:pPr>
      <w:r>
        <w:rPr>
          <w:rFonts w:hint="eastAsia" w:ascii="Times New Roman" w:hAnsi="Times New Roman" w:eastAsia="仿宋" w:cs="Times New Roman"/>
          <w:sz w:val="32"/>
        </w:rPr>
        <w:t>特此通知。</w:t>
      </w:r>
    </w:p>
    <w:p>
      <w:pPr>
        <w:ind w:firstLine="640"/>
        <w:rPr>
          <w:rFonts w:ascii="Times New Roman" w:hAnsi="Times New Roman" w:eastAsia="仿宋" w:cs="Times New Roman"/>
          <w:sz w:val="32"/>
        </w:rPr>
      </w:pPr>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szCs w:val="22"/>
        </w:rPr>
        <w:t>附件：申报费计费说明</w:t>
      </w:r>
    </w:p>
    <w:p>
      <w:pPr>
        <w:keepNext w:val="0"/>
        <w:keepLines w:val="0"/>
        <w:pageBreakBefore w:val="0"/>
        <w:widowControl w:val="0"/>
        <w:kinsoku/>
        <w:wordWrap/>
        <w:overflowPunct/>
        <w:topLinePunct w:val="0"/>
        <w:autoSpaceDE/>
        <w:autoSpaceDN/>
        <w:bidi w:val="0"/>
        <w:adjustRightInd/>
        <w:snapToGrid/>
        <w:ind w:right="147" w:rightChars="70" w:firstLine="640" w:firstLineChars="200"/>
        <w:jc w:val="right"/>
        <w:textAlignment w:val="auto"/>
        <w:rPr>
          <w:rFonts w:ascii="Times New Roman" w:hAnsi="Times New Roman" w:eastAsia="仿宋" w:cs="Times New Roman"/>
          <w:sz w:val="32"/>
          <w:szCs w:val="22"/>
        </w:rPr>
      </w:pPr>
      <w:r>
        <w:rPr>
          <w:rFonts w:hint="eastAsia" w:ascii="Times New Roman" w:hAnsi="Times New Roman" w:eastAsia="仿宋" w:cs="Times New Roman"/>
          <w:sz w:val="32"/>
          <w:szCs w:val="22"/>
        </w:rPr>
        <w:t>郑州商品交易所</w:t>
      </w:r>
    </w:p>
    <w:p>
      <w:pPr>
        <w:ind w:firstLine="640" w:firstLineChars="200"/>
        <w:jc w:val="right"/>
        <w:rPr>
          <w:rFonts w:ascii="Times New Roman" w:hAnsi="Times New Roman" w:eastAsia="仿宋" w:cs="Times New Roman"/>
          <w:sz w:val="32"/>
          <w:szCs w:val="22"/>
        </w:rPr>
      </w:pPr>
      <w:r>
        <w:rPr>
          <w:rFonts w:ascii="Times New Roman" w:hAnsi="Times New Roman" w:eastAsia="仿宋" w:cs="Times New Roman"/>
          <w:sz w:val="32"/>
          <w:szCs w:val="22"/>
        </w:rPr>
        <w:t>202</w:t>
      </w:r>
      <w:r>
        <w:rPr>
          <w:rFonts w:hint="eastAsia" w:ascii="Times New Roman" w:hAnsi="Times New Roman" w:eastAsia="仿宋" w:cs="Times New Roman"/>
          <w:sz w:val="32"/>
          <w:szCs w:val="22"/>
          <w:lang w:val="en-US" w:eastAsia="zh-CN"/>
        </w:rPr>
        <w:t>4</w:t>
      </w:r>
      <w:r>
        <w:rPr>
          <w:rFonts w:hint="eastAsia" w:ascii="Times New Roman" w:hAnsi="Times New Roman" w:eastAsia="仿宋" w:cs="Times New Roman"/>
          <w:sz w:val="32"/>
          <w:szCs w:val="22"/>
        </w:rPr>
        <w:t>年</w:t>
      </w:r>
      <w:r>
        <w:rPr>
          <w:rFonts w:hint="eastAsia" w:ascii="Times New Roman" w:hAnsi="Times New Roman" w:eastAsia="仿宋" w:cs="Times New Roman"/>
          <w:sz w:val="32"/>
          <w:szCs w:val="22"/>
          <w:lang w:val="en-US" w:eastAsia="zh-CN"/>
        </w:rPr>
        <w:t>5</w:t>
      </w:r>
      <w:r>
        <w:rPr>
          <w:rFonts w:hint="eastAsia" w:ascii="Times New Roman" w:hAnsi="Times New Roman" w:eastAsia="仿宋" w:cs="Times New Roman"/>
          <w:sz w:val="32"/>
          <w:szCs w:val="22"/>
        </w:rPr>
        <w:t>月</w:t>
      </w:r>
      <w:r>
        <w:rPr>
          <w:rFonts w:hint="eastAsia" w:eastAsia="仿宋" w:cs="Times New Roman"/>
          <w:sz w:val="32"/>
          <w:szCs w:val="22"/>
          <w:lang w:val="en-US" w:eastAsia="zh-CN"/>
        </w:rPr>
        <w:t>21</w:t>
      </w:r>
      <w:r>
        <w:rPr>
          <w:rFonts w:hint="eastAsia" w:ascii="Times New Roman" w:hAnsi="Times New Roman" w:eastAsia="仿宋" w:cs="Times New Roman"/>
          <w:sz w:val="32"/>
          <w:szCs w:val="22"/>
        </w:rPr>
        <w:t>日</w:t>
      </w:r>
    </w:p>
    <w:p>
      <w:pPr>
        <w:rPr>
          <w:rFonts w:hint="eastAsia" w:ascii="黑体" w:hAnsi="黑体" w:eastAsia="黑体" w:cs="Times New Roman"/>
          <w:sz w:val="32"/>
          <w:szCs w:val="22"/>
        </w:rPr>
      </w:pPr>
      <w:r>
        <w:rPr>
          <w:rFonts w:hint="eastAsia" w:ascii="黑体" w:hAnsi="黑体" w:eastAsia="黑体" w:cs="Times New Roman"/>
          <w:sz w:val="32"/>
          <w:szCs w:val="22"/>
        </w:rPr>
        <w:br w:type="page"/>
      </w:r>
    </w:p>
    <w:p>
      <w:pPr>
        <w:widowControl/>
        <w:jc w:val="left"/>
        <w:rPr>
          <w:rFonts w:ascii="黑体" w:hAnsi="黑体" w:eastAsia="黑体" w:cs="Times New Roman"/>
          <w:sz w:val="32"/>
          <w:szCs w:val="22"/>
        </w:rPr>
      </w:pPr>
      <w:bookmarkStart w:id="2" w:name="_GoBack"/>
      <w:bookmarkEnd w:id="2"/>
      <w:r>
        <w:rPr>
          <w:rFonts w:hint="eastAsia" w:ascii="黑体" w:hAnsi="黑体" w:eastAsia="黑体" w:cs="Times New Roman"/>
          <w:sz w:val="32"/>
          <w:szCs w:val="22"/>
        </w:rPr>
        <w:t>附  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申报费计费说明</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在实施申报收费的品种上，每日单合约信息量达到一定标准的客户或非期货公司会员。其中，做市商做市交易免收申报费。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二、收费公式</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申报费根据客户或非期货公司会员在合约上的报单成交比（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若客户或非期货公司会员某日在某合约上有信息量但无成交，则当日在该合约上其报单成交比视为大于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三、信息量计算</w:t>
      </w:r>
    </w:p>
    <w:p>
      <w:pPr>
        <w:spacing w:line="360" w:lineRule="auto"/>
        <w:ind w:firstLine="643"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四、收取方式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ascii="Times New Roman" w:hAnsi="Times New Roman" w:eastAsia="仿宋" w:cs="Times New Roman"/>
          <w:sz w:val="32"/>
          <w:szCs w:val="30"/>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p>
    <w:p>
      <w:pPr>
        <w:widowControl/>
        <w:jc w:val="left"/>
        <w:rPr>
          <w:rFonts w:ascii="Times New Roman" w:hAnsi="Times New Roman" w:eastAsia="仿宋" w:cs="Times New Roman"/>
          <w:sz w:val="32"/>
          <w:szCs w:val="30"/>
        </w:rPr>
      </w:pPr>
      <w:r>
        <w:rPr>
          <w:rFonts w:ascii="Times New Roman" w:hAnsi="Times New Roman" w:eastAsia="仿宋" w:cs="Times New Roman"/>
          <w:sz w:val="32"/>
          <w:szCs w:val="30"/>
        </w:rPr>
        <w:br w:type="page"/>
      </w:r>
    </w:p>
    <w:p>
      <w:pPr>
        <w:outlineLvl w:val="0"/>
        <w:rPr>
          <w:rFonts w:ascii="Times New Roman" w:hAnsi="Times New Roman" w:eastAsia="仿宋" w:cs="Times New Roman"/>
          <w:b/>
          <w:bCs/>
          <w:sz w:val="32"/>
          <w:szCs w:val="22"/>
        </w:rPr>
      </w:pPr>
      <w:r>
        <w:rPr>
          <w:rFonts w:ascii="Times New Roman" w:hAnsi="Times New Roman" w:eastAsia="仿宋" w:cs="Times New Roman"/>
          <w:b/>
          <w:bCs/>
          <w:sz w:val="32"/>
          <w:szCs w:val="22"/>
        </w:rPr>
        <w:t>Annex</w:t>
      </w:r>
    </w:p>
    <w:p>
      <w:pPr>
        <w:jc w:val="center"/>
        <w:rPr>
          <w:rFonts w:ascii="Times New Roman" w:hAnsi="Times New Roman" w:eastAsia="仿宋" w:cs="Times New Roman"/>
          <w:sz w:val="44"/>
          <w:szCs w:val="22"/>
        </w:rPr>
      </w:pPr>
      <w:r>
        <w:rPr>
          <w:rFonts w:ascii="Times New Roman" w:hAnsi="Times New Roman" w:eastAsia="仿宋" w:cs="Times New Roman"/>
          <w:sz w:val="44"/>
          <w:szCs w:val="22"/>
        </w:rPr>
        <w:t xml:space="preserve">Notice on </w:t>
      </w:r>
      <w:r>
        <w:rPr>
          <w:rFonts w:hint="eastAsia" w:ascii="Times New Roman" w:hAnsi="Times New Roman" w:eastAsia="仿宋" w:cs="Times New Roman"/>
          <w:sz w:val="44"/>
          <w:szCs w:val="44"/>
          <w:lang w:val="en-US" w:eastAsia="zh-CN"/>
        </w:rPr>
        <w:t>Adjustments to Order Fees of</w:t>
      </w:r>
      <w:r>
        <w:rPr>
          <w:rFonts w:ascii="Times New Roman" w:hAnsi="Times New Roman" w:eastAsia="仿宋" w:cs="Times New Roman"/>
          <w:sz w:val="44"/>
          <w:szCs w:val="44"/>
        </w:rPr>
        <w:t xml:space="preserve"> </w:t>
      </w:r>
      <w:r>
        <w:rPr>
          <w:rFonts w:hint="eastAsia" w:ascii="Times New Roman" w:hAnsi="Times New Roman" w:eastAsia="仿宋" w:cs="Times New Roman"/>
          <w:sz w:val="44"/>
          <w:szCs w:val="44"/>
          <w:lang w:val="en-US" w:eastAsia="zh-CN"/>
        </w:rPr>
        <w:t>Certain</w:t>
      </w:r>
      <w:r>
        <w:rPr>
          <w:rFonts w:ascii="Times New Roman" w:hAnsi="Times New Roman" w:eastAsia="仿宋" w:cs="Times New Roman"/>
          <w:sz w:val="44"/>
          <w:szCs w:val="44"/>
        </w:rPr>
        <w:t xml:space="preserve"> Futures</w:t>
      </w:r>
    </w:p>
    <w:p>
      <w:pPr>
        <w:rPr>
          <w:rFonts w:ascii="Times New Roman" w:hAnsi="Times New Roman"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Times New Roman" w:hAnsi="Times New Roman" w:eastAsia="仿宋" w:cs="Times New Roman"/>
          <w:sz w:val="32"/>
          <w:szCs w:val="32"/>
        </w:rPr>
      </w:pPr>
      <w:r>
        <w:rPr>
          <w:rFonts w:ascii="Times New Roman" w:hAnsi="Times New Roman" w:eastAsia="仿宋" w:cs="Times New Roman"/>
          <w:sz w:val="32"/>
          <w:szCs w:val="22"/>
        </w:rPr>
        <w:t>To all Members: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 xml:space="preserve">According to Article 27 of the Futures Clearing Rules of Zhengzhou Commodity Exchange, the Exchange has decided upon discussion to adjust order fees of Methanol, White Sugar, Rapeseed Oil, Rapeseed Meal, Polyester Staple Fiber, Peanut Kernel, PTA futures contracts from the </w:t>
      </w:r>
      <w:r>
        <w:rPr>
          <w:rFonts w:hint="eastAsia" w:eastAsia="仿宋" w:cs="Times New Roman"/>
          <w:sz w:val="32"/>
          <w:szCs w:val="44"/>
          <w:lang w:val="en-US" w:eastAsia="zh-CN"/>
        </w:rPr>
        <w:t xml:space="preserve">night </w:t>
      </w:r>
      <w:r>
        <w:rPr>
          <w:rFonts w:hint="eastAsia" w:ascii="Times New Roman" w:hAnsi="Times New Roman" w:eastAsia="仿宋" w:cs="Times New Roman"/>
          <w:sz w:val="32"/>
          <w:szCs w:val="44"/>
          <w:lang w:val="en-US" w:eastAsia="zh-CN"/>
        </w:rPr>
        <w:t xml:space="preserve">trading session of </w:t>
      </w:r>
      <w:r>
        <w:rPr>
          <w:rFonts w:hint="eastAsia" w:eastAsia="仿宋" w:cs="Times New Roman"/>
          <w:sz w:val="32"/>
          <w:szCs w:val="44"/>
          <w:lang w:val="en-US" w:eastAsia="zh-CN"/>
        </w:rPr>
        <w:t>May</w:t>
      </w:r>
      <w:r>
        <w:rPr>
          <w:rFonts w:hint="eastAsia" w:ascii="Times New Roman" w:hAnsi="Times New Roman" w:eastAsia="仿宋" w:cs="Times New Roman"/>
          <w:sz w:val="32"/>
          <w:szCs w:val="44"/>
          <w:lang w:val="en-US" w:eastAsia="zh-CN"/>
        </w:rPr>
        <w:t xml:space="preserve"> </w:t>
      </w:r>
      <w:r>
        <w:rPr>
          <w:rFonts w:hint="eastAsia" w:eastAsia="仿宋" w:cs="Times New Roman"/>
          <w:sz w:val="32"/>
          <w:szCs w:val="44"/>
          <w:lang w:val="en-US" w:eastAsia="zh-CN"/>
        </w:rPr>
        <w:t>31</w:t>
      </w:r>
      <w:r>
        <w:rPr>
          <w:rFonts w:hint="eastAsia" w:ascii="Times New Roman" w:hAnsi="Times New Roman" w:eastAsia="仿宋" w:cs="Times New Roman"/>
          <w:sz w:val="32"/>
          <w:szCs w:val="44"/>
          <w:lang w:val="en-US" w:eastAsia="zh-CN"/>
        </w:rPr>
        <w:t>, 2024.</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39"/>
        <w:gridCol w:w="2467"/>
        <w:gridCol w:w="183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539"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lang w:val="en-US" w:eastAsia="zh-CN"/>
              </w:rPr>
            </w:pPr>
            <w:r>
              <w:rPr>
                <w:rFonts w:ascii="Times New Roman" w:hAnsi="Times New Roman" w:eastAsia="宋体" w:cs="宋体"/>
                <w:b/>
                <w:bCs w:val="0"/>
                <w:color w:val="000000"/>
                <w:kern w:val="0"/>
                <w:sz w:val="22"/>
                <w:szCs w:val="22"/>
              </w:rPr>
              <w:t>Futures</w:t>
            </w:r>
            <w:r>
              <w:rPr>
                <w:rFonts w:hint="eastAsia" w:ascii="Times New Roman" w:hAnsi="Times New Roman" w:eastAsia="宋体" w:cs="宋体"/>
                <w:b/>
                <w:bCs w:val="0"/>
                <w:color w:val="000000"/>
                <w:kern w:val="0"/>
                <w:sz w:val="22"/>
                <w:szCs w:val="22"/>
                <w:lang w:val="en-US" w:eastAsia="zh-CN"/>
              </w:rPr>
              <w:t xml:space="preserve"> Contracts</w:t>
            </w:r>
          </w:p>
        </w:tc>
        <w:tc>
          <w:tcPr>
            <w:tcW w:w="2467"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Message Amount(MA)</w:t>
            </w:r>
          </w:p>
        </w:tc>
        <w:tc>
          <w:tcPr>
            <w:tcW w:w="1833"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OTR</w:t>
            </w:r>
            <w:r>
              <w:rPr>
                <w:rFonts w:hint="eastAsia" w:ascii="Times New Roman" w:hAnsi="Times New Roman" w:eastAsia="宋体" w:cs="Times New Roman"/>
                <w:b/>
                <w:bCs w:val="0"/>
                <w:color w:val="000000"/>
                <w:kern w:val="0"/>
                <w:sz w:val="22"/>
                <w:szCs w:val="22"/>
              </w:rPr>
              <w:t>≤</w:t>
            </w:r>
            <w:r>
              <w:rPr>
                <w:rFonts w:ascii="Times New Roman" w:hAnsi="Times New Roman" w:eastAsia="宋体" w:cs="Times New Roman"/>
                <w:b/>
                <w:bCs w:val="0"/>
                <w:color w:val="000000"/>
                <w:kern w:val="0"/>
                <w:sz w:val="22"/>
                <w:szCs w:val="22"/>
              </w:rPr>
              <w:t>2</w:t>
            </w:r>
          </w:p>
        </w:tc>
        <w:tc>
          <w:tcPr>
            <w:tcW w:w="1689"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OTR</w:t>
            </w:r>
            <w:r>
              <w:rPr>
                <w:rFonts w:hint="eastAsia" w:ascii="Times New Roman" w:hAnsi="Times New Roman" w:eastAsia="宋体" w:cs="宋体"/>
                <w:b/>
                <w:bCs w:val="0"/>
                <w:color w:val="000000"/>
                <w:kern w:val="0"/>
                <w:sz w:val="22"/>
                <w:szCs w:val="22"/>
              </w:rPr>
              <w:t>＞</w:t>
            </w:r>
            <w:r>
              <w:rPr>
                <w:rFonts w:ascii="Times New Roman" w:hAnsi="Times New Roman" w:eastAsia="宋体" w:cs="Times New Roman"/>
                <w:b/>
                <w:bCs w:val="0"/>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0"/>
                <w:sz w:val="22"/>
                <w:szCs w:val="22"/>
                <w:u w:val="none"/>
                <w:lang w:val="en-US" w:eastAsia="zh-CN" w:bidi="ar"/>
              </w:rPr>
            </w:pPr>
            <w:r>
              <w:rPr>
                <w:rFonts w:ascii="Times New Roman" w:hAnsi="Times New Roman" w:eastAsia="宋体" w:cs="宋体"/>
                <w:b w:val="0"/>
                <w:color w:val="000000"/>
                <w:kern w:val="0"/>
                <w:sz w:val="22"/>
                <w:szCs w:val="22"/>
              </w:rPr>
              <w:t>Methanol</w:t>
            </w:r>
            <w:r>
              <w:rPr>
                <w:rFonts w:hint="eastAsia" w:ascii="Times New Roman" w:hAnsi="Times New Roman" w:eastAsia="宋体" w:cs="宋体"/>
                <w:b w:val="0"/>
                <w:color w:val="000000"/>
                <w:kern w:val="0"/>
                <w:sz w:val="22"/>
                <w:szCs w:val="22"/>
                <w:lang w:val="en-US" w:eastAsia="zh-CN"/>
              </w:rPr>
              <w:t xml:space="preserve">, </w:t>
            </w:r>
            <w:r>
              <w:rPr>
                <w:rFonts w:ascii="Times New Roman" w:hAnsi="Times New Roman" w:eastAsia="宋体" w:cs="宋体"/>
                <w:b w:val="0"/>
                <w:color w:val="000000"/>
                <w:kern w:val="0"/>
                <w:sz w:val="22"/>
                <w:szCs w:val="22"/>
              </w:rPr>
              <w:t>Rapeseed Oil</w:t>
            </w:r>
            <w:r>
              <w:rPr>
                <w:rFonts w:hint="eastAsia" w:ascii="Times New Roman" w:hAnsi="Times New Roman" w:eastAsia="宋体" w:cs="宋体"/>
                <w:b w:val="0"/>
                <w:color w:val="000000"/>
                <w:kern w:val="0"/>
                <w:sz w:val="22"/>
                <w:szCs w:val="22"/>
                <w:lang w:val="en-US" w:eastAsia="zh-CN"/>
              </w:rPr>
              <w:t>,</w:t>
            </w:r>
          </w:p>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Rapeseed Meal</w:t>
            </w:r>
            <w:r>
              <w:rPr>
                <w:rFonts w:hint="eastAsia" w:ascii="Times New Roman" w:hAnsi="Times New Roman" w:eastAsia="宋体" w:cs="宋体"/>
                <w:b w:val="0"/>
                <w:color w:val="000000"/>
                <w:kern w:val="0"/>
                <w:sz w:val="22"/>
                <w:szCs w:val="22"/>
                <w:lang w:val="en-US" w:eastAsia="zh-CN"/>
              </w:rPr>
              <w:t xml:space="preserve">, </w:t>
            </w:r>
            <w:r>
              <w:rPr>
                <w:rFonts w:ascii="Times New Roman" w:hAnsi="Times New Roman" w:eastAsia="宋体" w:cs="宋体"/>
                <w:b w:val="0"/>
                <w:color w:val="000000"/>
                <w:kern w:val="0"/>
                <w:sz w:val="22"/>
                <w:szCs w:val="22"/>
              </w:rPr>
              <w:t>White Sugar</w:t>
            </w: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3yuan/count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7.5yuan/count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15yuan/count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 xml:space="preserve">Polyester Staple Fiber, </w:t>
            </w:r>
            <w:r>
              <w:rPr>
                <w:rFonts w:ascii="Times New Roman" w:hAnsi="Times New Roman" w:eastAsia="宋体" w:cs="宋体"/>
                <w:b w:val="0"/>
                <w:color w:val="000000"/>
                <w:kern w:val="0"/>
                <w:sz w:val="22"/>
                <w:szCs w:val="22"/>
              </w:rPr>
              <w:t>Peanut Kernel</w:t>
            </w: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noWrap/>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833" w:type="dxa"/>
            <w:shd w:val="clear" w:color="auto" w:fill="auto"/>
            <w:noWrap/>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2.5yuan/count</w:t>
            </w:r>
          </w:p>
        </w:tc>
        <w:tc>
          <w:tcPr>
            <w:tcW w:w="1689" w:type="dxa"/>
            <w:shd w:val="clear" w:color="auto" w:fill="auto"/>
            <w:noWrap/>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5yuan/count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PTA</w:t>
            </w: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2yuan/count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8000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20000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5yuan/count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20000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40yuan/count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 xml:space="preserve">Members shall strengthen </w:t>
      </w:r>
      <w:r>
        <w:rPr>
          <w:rFonts w:hint="eastAsia" w:eastAsia="仿宋" w:cs="Times New Roman"/>
          <w:sz w:val="32"/>
          <w:szCs w:val="44"/>
          <w:lang w:val="en-US" w:eastAsia="zh-CN"/>
        </w:rPr>
        <w:t>the management of clients</w:t>
      </w:r>
      <w:r>
        <w:rPr>
          <w:rFonts w:hint="default" w:eastAsia="仿宋" w:cs="Times New Roman"/>
          <w:sz w:val="32"/>
          <w:szCs w:val="44"/>
          <w:lang w:val="en-US" w:eastAsia="zh-CN"/>
        </w:rPr>
        <w:t>’</w:t>
      </w:r>
      <w:r>
        <w:rPr>
          <w:rFonts w:hint="eastAsia" w:eastAsia="仿宋" w:cs="Times New Roman"/>
          <w:sz w:val="32"/>
          <w:szCs w:val="44"/>
          <w:lang w:val="en-US" w:eastAsia="zh-CN"/>
        </w:rPr>
        <w:t xml:space="preserve"> trading behavior</w:t>
      </w:r>
      <w:r>
        <w:rPr>
          <w:rFonts w:hint="eastAsia" w:ascii="Times New Roman" w:hAnsi="Times New Roman" w:eastAsia="仿宋" w:cs="Times New Roman"/>
          <w:sz w:val="32"/>
          <w:szCs w:val="44"/>
          <w:lang w:val="en-US" w:eastAsia="zh-CN"/>
        </w:rPr>
        <w:t xml:space="preserve"> and take practical and effective measures to prevent clients from having insufficient funds due to overdraft </w:t>
      </w:r>
      <w:r>
        <w:rPr>
          <w:rFonts w:hint="eastAsia" w:eastAsia="仿宋" w:cs="Times New Roman"/>
          <w:sz w:val="32"/>
          <w:szCs w:val="44"/>
          <w:lang w:val="en-US" w:eastAsia="zh-CN"/>
        </w:rPr>
        <w:t>of</w:t>
      </w:r>
      <w:r>
        <w:rPr>
          <w:rFonts w:hint="eastAsia" w:ascii="Times New Roman" w:hAnsi="Times New Roman" w:eastAsia="仿宋" w:cs="Times New Roman"/>
          <w:sz w:val="32"/>
          <w:szCs w:val="44"/>
          <w:lang w:val="en-US" w:eastAsia="zh-CN"/>
        </w:rPr>
        <w:t xml:space="preserve"> order fees.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The notice is hereby released.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Attachment: The Instruction for Collecting Order Fees</w:t>
      </w:r>
    </w:p>
    <w:p>
      <w:pPr>
        <w:ind w:firstLine="640" w:firstLineChars="200"/>
        <w:rPr>
          <w:rFonts w:ascii="Times New Roman" w:hAnsi="Times New Roman" w:eastAsia="仿宋" w:cs="Times New Roman"/>
          <w:sz w:val="32"/>
          <w:szCs w:val="22"/>
        </w:rPr>
      </w:pPr>
    </w:p>
    <w:p>
      <w:pPr>
        <w:jc w:val="right"/>
        <w:rPr>
          <w:rFonts w:ascii="Times New Roman" w:hAnsi="Times New Roman" w:eastAsia="仿宋" w:cs="Times New Roman"/>
          <w:sz w:val="32"/>
          <w:szCs w:val="32"/>
        </w:rPr>
      </w:pPr>
      <w:r>
        <w:rPr>
          <w:rFonts w:ascii="Times New Roman" w:hAnsi="Times New Roman" w:eastAsia="仿宋" w:cs="Times New Roman"/>
          <w:sz w:val="32"/>
          <w:szCs w:val="32"/>
        </w:rPr>
        <w:t>Zhengzhou Commodity Exchange</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May</w:t>
      </w:r>
      <w:r>
        <w:rPr>
          <w:rFonts w:hint="eastAsia" w:ascii="Times New Roman" w:hAnsi="Times New Roman" w:eastAsia="仿宋" w:cs="Times New Roman"/>
          <w:sz w:val="32"/>
          <w:szCs w:val="32"/>
        </w:rPr>
        <w:t xml:space="preserve"> </w:t>
      </w:r>
      <w:r>
        <w:rPr>
          <w:rFonts w:hint="eastAsia" w:eastAsia="仿宋" w:cs="Times New Roman"/>
          <w:sz w:val="32"/>
          <w:szCs w:val="32"/>
          <w:lang w:val="en-US" w:eastAsia="zh-CN"/>
        </w:rPr>
        <w:t>21</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2024</w:t>
      </w:r>
      <w:r>
        <w:rPr>
          <w:rFonts w:ascii="Times New Roman" w:hAnsi="Times New Roman" w:eastAsia="仿宋" w:cs="Times New Roman"/>
          <w:sz w:val="32"/>
          <w:szCs w:val="32"/>
        </w:rPr>
        <w:t xml:space="preserve"> </w:t>
      </w:r>
    </w:p>
    <w:p>
      <w:pPr>
        <w:adjustRightInd w:val="0"/>
        <w:snapToGrid w:val="0"/>
        <w:spacing w:line="360" w:lineRule="auto"/>
        <w:ind w:firstLine="640" w:firstLineChars="200"/>
        <w:jc w:val="right"/>
        <w:rPr>
          <w:rFonts w:ascii="Times New Roman" w:hAnsi="Times New Roman" w:eastAsia="仿宋" w:cs="Times New Roman"/>
          <w:sz w:val="32"/>
          <w:szCs w:val="32"/>
        </w:rPr>
      </w:pPr>
    </w:p>
    <w:p>
      <w:pPr>
        <w:rPr>
          <w:rFonts w:ascii="Times New Roman" w:hAnsi="Times New Roman" w:eastAsia="仿宋" w:cs="Times New Roman"/>
          <w:sz w:val="32"/>
          <w:szCs w:val="22"/>
        </w:rPr>
      </w:pPr>
      <w:r>
        <w:rPr>
          <w:rFonts w:ascii="Times New Roman" w:hAnsi="Times New Roman" w:eastAsia="仿宋" w:cs="Times New Roman"/>
          <w:sz w:val="22"/>
          <w:szCs w:val="22"/>
        </w:rPr>
        <w:t>Disclaimer: This English version may be used for reference only. If there is any discrepancy between the English version and the Chinese version, the Chinese version shall prevail.</w:t>
      </w:r>
    </w:p>
    <w:p>
      <w:pPr>
        <w:adjustRightInd w:val="0"/>
        <w:snapToGrid w:val="0"/>
        <w:spacing w:line="360" w:lineRule="auto"/>
        <w:jc w:val="left"/>
        <w:outlineLvl w:val="0"/>
        <w:rPr>
          <w:rFonts w:ascii="Times New Roman" w:hAnsi="Times New Roman" w:eastAsia="仿宋" w:cs="Times New Roman"/>
          <w:kern w:val="0"/>
          <w:sz w:val="32"/>
          <w:szCs w:val="22"/>
        </w:rPr>
      </w:pPr>
      <w:r>
        <w:rPr>
          <w:rFonts w:ascii="Times New Roman" w:hAnsi="Times New Roman" w:eastAsia="仿宋" w:cs="Times New Roman"/>
          <w:sz w:val="32"/>
          <w:szCs w:val="44"/>
        </w:rPr>
        <w:br w:type="page"/>
      </w:r>
      <w:r>
        <w:rPr>
          <w:rFonts w:ascii="Times New Roman" w:hAnsi="Times New Roman" w:eastAsia="仿宋" w:cs="Times New Roman"/>
          <w:b/>
          <w:bCs/>
          <w:kern w:val="0"/>
          <w:sz w:val="32"/>
          <w:szCs w:val="22"/>
        </w:rPr>
        <w:t>Attachment</w:t>
      </w:r>
    </w:p>
    <w:p>
      <w:pPr>
        <w:spacing w:line="360" w:lineRule="auto"/>
        <w:jc w:val="center"/>
        <w:rPr>
          <w:rFonts w:ascii="Times New Roman" w:hAnsi="Times New Roman" w:eastAsia="仿宋" w:cs="Times New Roman"/>
          <w:sz w:val="44"/>
          <w:szCs w:val="44"/>
        </w:rPr>
      </w:pPr>
      <w:r>
        <w:rPr>
          <w:rFonts w:ascii="Times New Roman" w:hAnsi="Times New Roman" w:eastAsia="仿宋" w:cs="Times New Roman"/>
          <w:sz w:val="44"/>
          <w:szCs w:val="44"/>
        </w:rPr>
        <w:t>The Instruction for Collecting Order Fees</w:t>
      </w:r>
    </w:p>
    <w:p>
      <w:pPr>
        <w:spacing w:line="360" w:lineRule="auto"/>
        <w:outlineLvl w:val="0"/>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1. Applicable Scope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This fee collection plan applies to clients or non-FB members whose daily message amount on a single contract exceed the benchmark. In particular, order fees on market-making transactions of market makers are exempted.</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2. Fee Formula</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ascii="Times New Roman" w:hAnsi="Times New Roman" w:eastAsia="仿宋" w:cs="Times New Roman"/>
          <w:sz w:val="32"/>
          <w:szCs w:val="44"/>
        </w:rPr>
        <w:t>Order fees are calculated according to the levels of OTR (Order to Trade Ratio) and message amount of clients or non-FB members. Order fees are collected on a daily basis</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futures contract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futures contract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 and order cancellation.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certain contract but no order is filled, the current day’s OTR on that contract 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3. The Instruction for Message Amount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Executed orders: If an order is partially or fully filled, it will be counted as 1 executed order. If an order is filled separately by multiple times, it will still be counted as 1 executed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FAK/FOK order: If the FAK/FOK order is fully filled, the message amount for this FAK/FOK order will be 1; if that order is withdrawn due to partial or no execution,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Market order: If an order is fully filled, the message amount will be 1; if no order is filled or is partially filled,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Spread order: Message amount for each spread will be calculated into message amount for each separate contract.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liquidation order: Message amount will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position reduction order: Message amount will not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 members, or clients or non-FB members linked by actual controlling relationship, the Exchange shall calculate indicators like order placement, order cancellation, message amount, executed orders and OTR aggregately.</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4. Fee Collection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will be deducted from the clearing reserve of relevant members during daily clearing.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Clients or non-FB members linked by actual controlling relationship are treated as a single client or a single non-FB member for the calculation of order fees, and order fee payable is calculated proportional to the percentage of each client or each non-FB member’s message amount. For any client or non-FB member that is involved in more than one group of accounts linked by actual controlling relationship, the Exchange will first calculate the order fee payable by each group, and then that by the client or non-FB member within each group (the latter hereinafter refers to as “group-specific payment”). The largest of the group-specific payments will be the order fees actually payable by the client or non-FB member.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FB-members, order fee payable through each member is calculated proportional to the percentage of that client’s message amount through that member.</w:t>
      </w:r>
    </w:p>
    <w:p>
      <w:pPr>
        <w:ind w:firstLine="645"/>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37A350A"/>
    <w:rsid w:val="04E35382"/>
    <w:rsid w:val="0ABAA010"/>
    <w:rsid w:val="0C0006AD"/>
    <w:rsid w:val="16AC8A78"/>
    <w:rsid w:val="1A8D2258"/>
    <w:rsid w:val="20091FC9"/>
    <w:rsid w:val="290646AC"/>
    <w:rsid w:val="2C2E746D"/>
    <w:rsid w:val="2C444049"/>
    <w:rsid w:val="2D2A393B"/>
    <w:rsid w:val="2EFD7F1B"/>
    <w:rsid w:val="371D403E"/>
    <w:rsid w:val="37335B48"/>
    <w:rsid w:val="3AA452E6"/>
    <w:rsid w:val="3B7F12F6"/>
    <w:rsid w:val="3CAB6066"/>
    <w:rsid w:val="3DFEDF5B"/>
    <w:rsid w:val="3E7D6B85"/>
    <w:rsid w:val="3FA6A5D7"/>
    <w:rsid w:val="3FF57FF3"/>
    <w:rsid w:val="4D353BB5"/>
    <w:rsid w:val="52192FF5"/>
    <w:rsid w:val="57F9B23C"/>
    <w:rsid w:val="5BBB2168"/>
    <w:rsid w:val="5BBC6914"/>
    <w:rsid w:val="5BF5586F"/>
    <w:rsid w:val="5CDD3A29"/>
    <w:rsid w:val="5E5A057F"/>
    <w:rsid w:val="5EBB7749"/>
    <w:rsid w:val="5EE34AD1"/>
    <w:rsid w:val="5FFF4F50"/>
    <w:rsid w:val="656DC1C3"/>
    <w:rsid w:val="69F530AE"/>
    <w:rsid w:val="6A6F367E"/>
    <w:rsid w:val="6D79709B"/>
    <w:rsid w:val="6F57E914"/>
    <w:rsid w:val="70A92680"/>
    <w:rsid w:val="70FE0194"/>
    <w:rsid w:val="76EF74DA"/>
    <w:rsid w:val="77694A10"/>
    <w:rsid w:val="77FEDE93"/>
    <w:rsid w:val="7BFFDB81"/>
    <w:rsid w:val="7D2F6232"/>
    <w:rsid w:val="7EC9BA8A"/>
    <w:rsid w:val="7EFF13B7"/>
    <w:rsid w:val="7F737DF6"/>
    <w:rsid w:val="7FF58E4F"/>
    <w:rsid w:val="7FFB64B7"/>
    <w:rsid w:val="8F9FEFE5"/>
    <w:rsid w:val="97FE3675"/>
    <w:rsid w:val="B7FB8C1A"/>
    <w:rsid w:val="B92C3E8E"/>
    <w:rsid w:val="B9F357DA"/>
    <w:rsid w:val="BDEDF311"/>
    <w:rsid w:val="BF230734"/>
    <w:rsid w:val="BF77AEC8"/>
    <w:rsid w:val="BFFF7CBB"/>
    <w:rsid w:val="C9F9F187"/>
    <w:rsid w:val="CBFF93A3"/>
    <w:rsid w:val="D3F7D3B4"/>
    <w:rsid w:val="D77F07A9"/>
    <w:rsid w:val="DBED6136"/>
    <w:rsid w:val="DD7F36F9"/>
    <w:rsid w:val="DE5D2056"/>
    <w:rsid w:val="E3EFAC1E"/>
    <w:rsid w:val="E51B45ED"/>
    <w:rsid w:val="E5DF888E"/>
    <w:rsid w:val="EBFD29FA"/>
    <w:rsid w:val="EEBF99EF"/>
    <w:rsid w:val="EFEB3F82"/>
    <w:rsid w:val="EFF8102E"/>
    <w:rsid w:val="F3BDEE52"/>
    <w:rsid w:val="F5FFFB38"/>
    <w:rsid w:val="F6E7FD42"/>
    <w:rsid w:val="F9FA2418"/>
    <w:rsid w:val="FAED014B"/>
    <w:rsid w:val="FAFF0203"/>
    <w:rsid w:val="FBFF3523"/>
    <w:rsid w:val="FC7D8811"/>
    <w:rsid w:val="FCD65756"/>
    <w:rsid w:val="FEF6823F"/>
    <w:rsid w:val="FF5E74C4"/>
    <w:rsid w:val="FF7ECAD6"/>
    <w:rsid w:val="FFBF916F"/>
    <w:rsid w:val="FFC7134C"/>
    <w:rsid w:val="FFEE2564"/>
    <w:rsid w:val="FFF65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2727</Words>
  <Characters>6120</Characters>
  <Lines>2</Lines>
  <Paragraphs>1</Paragraphs>
  <TotalTime>0</TotalTime>
  <ScaleCrop>false</ScaleCrop>
  <LinksUpToDate>false</LinksUpToDate>
  <CharactersWithSpaces>6954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2019-09-25T08:35:00Z</dcterms:created>
  <dc:creator>CN=李小鹏/OU=办公室/O=CZCE</dc:creator>
  <cp:lastModifiedBy>Administrator</cp:lastModifiedBy>
  <cp:lastPrinted>2024-05-26T00:25:00Z</cp:lastPrinted>
  <dcterms:modified xsi:type="dcterms:W3CDTF">2024-05-22T00:53:52Z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64669BB5E1C7487D9590A97170592142</vt:lpwstr>
  </property>
</Properties>
</file>