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19" w:rsidRPr="00972826" w:rsidRDefault="00326F19" w:rsidP="00326F19">
      <w:pPr>
        <w:widowControl/>
        <w:spacing w:line="560" w:lineRule="exact"/>
        <w:jc w:val="center"/>
        <w:rPr>
          <w:rFonts w:ascii="宋体" w:hAnsi="宋体" w:cs="宋体"/>
          <w:kern w:val="0"/>
          <w:sz w:val="36"/>
          <w:szCs w:val="36"/>
        </w:rPr>
      </w:pPr>
      <w:proofErr w:type="gramStart"/>
      <w:r w:rsidRPr="005D6FB6">
        <w:rPr>
          <w:rFonts w:ascii="宋体" w:hAnsi="宋体" w:cs="方正小标宋简体" w:hint="eastAsia"/>
          <w:b/>
          <w:kern w:val="0"/>
          <w:sz w:val="36"/>
          <w:szCs w:val="36"/>
        </w:rPr>
        <w:t>华融期货</w:t>
      </w:r>
      <w:proofErr w:type="gramEnd"/>
      <w:r w:rsidRPr="005D6FB6">
        <w:rPr>
          <w:rFonts w:ascii="宋体" w:hAnsi="宋体" w:cs="方正小标宋简体" w:hint="eastAsia"/>
          <w:b/>
          <w:kern w:val="0"/>
          <w:sz w:val="36"/>
          <w:szCs w:val="36"/>
        </w:rPr>
        <w:t>有限责任公司</w:t>
      </w:r>
    </w:p>
    <w:p w:rsidR="00326F19" w:rsidRPr="00972826" w:rsidRDefault="00326F19" w:rsidP="00326F19">
      <w:pPr>
        <w:widowControl/>
        <w:spacing w:line="560" w:lineRule="exact"/>
        <w:jc w:val="center"/>
        <w:rPr>
          <w:rFonts w:ascii="宋体" w:hAnsi="宋体" w:cs="宋体"/>
          <w:kern w:val="0"/>
          <w:sz w:val="36"/>
          <w:szCs w:val="36"/>
        </w:rPr>
      </w:pPr>
      <w:r w:rsidRPr="005D6FB6">
        <w:rPr>
          <w:rFonts w:ascii="宋体" w:hAnsi="宋体" w:cs="方正小标宋简体" w:hint="eastAsia"/>
          <w:b/>
          <w:kern w:val="0"/>
          <w:sz w:val="36"/>
          <w:szCs w:val="36"/>
        </w:rPr>
        <w:t>连续交易补充协议</w:t>
      </w:r>
    </w:p>
    <w:p w:rsidR="00326F19" w:rsidRPr="00972826" w:rsidRDefault="00326F19" w:rsidP="00326F19">
      <w:pPr>
        <w:widowControl/>
        <w:spacing w:line="560" w:lineRule="exact"/>
        <w:jc w:val="left"/>
        <w:rPr>
          <w:rFonts w:ascii="宋体" w:hAnsi="宋体" w:cs="宋体"/>
          <w:kern w:val="0"/>
          <w:sz w:val="24"/>
        </w:rPr>
      </w:pPr>
      <w:r w:rsidRPr="00972826">
        <w:rPr>
          <w:rFonts w:ascii="仿宋" w:eastAsia="仿宋" w:hAnsi="仿宋" w:cs="仿宋" w:hint="eastAsia"/>
          <w:kern w:val="0"/>
          <w:sz w:val="30"/>
          <w:szCs w:val="30"/>
        </w:rPr>
        <w:t> </w:t>
      </w:r>
    </w:p>
    <w:p w:rsidR="00326F19" w:rsidRPr="00972826" w:rsidRDefault="00326F19" w:rsidP="00326F19">
      <w:pPr>
        <w:widowControl/>
        <w:snapToGrid w:val="0"/>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kern w:val="0"/>
          <w:sz w:val="32"/>
          <w:szCs w:val="32"/>
        </w:rPr>
        <w:t>根据期货交易所关于连续交易的相关规则，结合连续交易期间与日盘在交易时间、资金划拨、风险控制以及应急处置等方面存在的差别，期货公司（甲方）与客户（乙方）就连续交易事项达成如下协议，作为双方《期货经纪合同》的补充：</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第一条</w:t>
      </w:r>
      <w:r w:rsidRPr="00972826">
        <w:rPr>
          <w:rFonts w:ascii="仿宋_GB2312" w:eastAsia="仿宋_GB2312" w:hAnsi="宋体" w:cs="仿宋" w:hint="eastAsia"/>
          <w:kern w:val="0"/>
          <w:sz w:val="32"/>
          <w:szCs w:val="32"/>
        </w:rPr>
        <w:t xml:space="preserve"> 术语和定义</w:t>
      </w:r>
    </w:p>
    <w:p w:rsidR="00326F19" w:rsidRPr="00972826" w:rsidRDefault="00326F19" w:rsidP="00326F19">
      <w:pPr>
        <w:widowControl/>
        <w:snapToGrid w:val="0"/>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kern w:val="0"/>
          <w:sz w:val="32"/>
          <w:szCs w:val="32"/>
        </w:rPr>
        <w:t>（一）“连续交易”是指除日盘之外由交易所规定交易时间的交易。连续交易品种为交易所规定的期货品种，具体交易时间以交易所通知为准。</w:t>
      </w:r>
    </w:p>
    <w:p w:rsidR="00326F19" w:rsidRPr="00972826" w:rsidRDefault="00326F19" w:rsidP="00326F19">
      <w:pPr>
        <w:widowControl/>
        <w:snapToGrid w:val="0"/>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kern w:val="0"/>
          <w:sz w:val="32"/>
          <w:szCs w:val="32"/>
        </w:rPr>
        <w:t>（二）“交易日”是指从前一个工作日的连续交易开始至当天日盘结束。连续交易品种的交易日参见交易所规则。</w:t>
      </w:r>
    </w:p>
    <w:p w:rsidR="00326F19" w:rsidRPr="00972826" w:rsidRDefault="00326F19" w:rsidP="00326F19">
      <w:pPr>
        <w:widowControl/>
        <w:snapToGrid w:val="0"/>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kern w:val="0"/>
          <w:sz w:val="32"/>
          <w:szCs w:val="32"/>
        </w:rPr>
        <w:t>（三）“日盘”：商品期货交易时间为上午9:00-11:30和下午1:30-3:00，金融期货为上午9:15-11:30和下午1:00-3:15（最后交易日为上午：9:15-11:30，下午：1:00-3:00），具体以交易所通知为准。</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第二条</w:t>
      </w:r>
      <w:r w:rsidRPr="00972826">
        <w:rPr>
          <w:rFonts w:ascii="仿宋_GB2312" w:eastAsia="仿宋_GB2312" w:hAnsi="宋体" w:cs="仿宋" w:hint="eastAsia"/>
          <w:kern w:val="0"/>
          <w:sz w:val="32"/>
          <w:szCs w:val="32"/>
        </w:rPr>
        <w:t xml:space="preserve"> 乙方参与连续交易的，应当登录相关期货交易所和甲方网站，认真阅读期货交易所关于连续交易的规则及甲方有关连续交易的规定，充分了解连续交易在交易时间、开户、资金划拨、风险控制等方面的特殊规定,知晓连续交</w:t>
      </w:r>
      <w:r w:rsidRPr="00972826">
        <w:rPr>
          <w:rFonts w:ascii="仿宋_GB2312" w:eastAsia="仿宋_GB2312" w:hAnsi="宋体" w:cs="仿宋" w:hint="eastAsia"/>
          <w:kern w:val="0"/>
          <w:sz w:val="32"/>
          <w:szCs w:val="32"/>
        </w:rPr>
        <w:lastRenderedPageBreak/>
        <w:t xml:space="preserve">易的风险，并可向甲方咨询。乙方参与连续交易品种交易的，即视为已完全理解连续交易的规则和风险。 </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第三条</w:t>
      </w:r>
      <w:r w:rsidRPr="00972826">
        <w:rPr>
          <w:rFonts w:ascii="仿宋_GB2312" w:eastAsia="仿宋_GB2312" w:hAnsi="宋体" w:cs="仿宋" w:hint="eastAsia"/>
          <w:kern w:val="0"/>
          <w:sz w:val="32"/>
          <w:szCs w:val="32"/>
        </w:rPr>
        <w:t xml:space="preserve"> 乙方持有连续交易品种的，不论是否参与连续交易时段的交易，都应当关注并合理控制连续交易时段的交易风险。</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第四条</w:t>
      </w:r>
      <w:r w:rsidRPr="00972826">
        <w:rPr>
          <w:rFonts w:ascii="仿宋_GB2312" w:eastAsia="仿宋_GB2312" w:hAnsi="宋体" w:cs="仿宋" w:hint="eastAsia"/>
          <w:kern w:val="0"/>
          <w:sz w:val="32"/>
          <w:szCs w:val="32"/>
        </w:rPr>
        <w:t xml:space="preserve"> 乙方参与连续交易的报价在一个交易日内一直有效，在连续交易未成交的报价直接转入该交易日的日盘，直到该报价全部成交或被撤销。</w:t>
      </w:r>
    </w:p>
    <w:p w:rsidR="00326F19" w:rsidRPr="00CF199D" w:rsidRDefault="00326F19" w:rsidP="00326F19">
      <w:pPr>
        <w:snapToGrid w:val="0"/>
        <w:spacing w:line="560" w:lineRule="exact"/>
        <w:ind w:firstLineChars="200" w:firstLine="643"/>
        <w:jc w:val="left"/>
        <w:rPr>
          <w:rFonts w:ascii="仿宋_GB2312" w:eastAsia="仿宋_GB2312" w:hAnsi="宋体" w:cs="仿宋"/>
          <w:kern w:val="0"/>
          <w:sz w:val="32"/>
          <w:szCs w:val="32"/>
        </w:rPr>
      </w:pPr>
      <w:r w:rsidRPr="005D6FB6">
        <w:rPr>
          <w:rFonts w:ascii="仿宋_GB2312" w:eastAsia="仿宋_GB2312" w:hAnsi="宋体" w:cs="仿宋" w:hint="eastAsia"/>
          <w:b/>
          <w:kern w:val="0"/>
          <w:sz w:val="32"/>
          <w:szCs w:val="32"/>
        </w:rPr>
        <w:t>第五条</w:t>
      </w:r>
      <w:r>
        <w:rPr>
          <w:rFonts w:ascii="仿宋_GB2312" w:eastAsia="仿宋_GB2312" w:hAnsi="宋体" w:cs="仿宋" w:hint="eastAsia"/>
          <w:b/>
          <w:kern w:val="0"/>
          <w:sz w:val="32"/>
          <w:szCs w:val="32"/>
        </w:rPr>
        <w:t xml:space="preserve"> </w:t>
      </w:r>
      <w:r w:rsidRPr="00CF199D">
        <w:rPr>
          <w:rFonts w:ascii="仿宋_GB2312" w:eastAsia="仿宋_GB2312" w:hAnsi="宋体" w:cs="仿宋" w:hint="eastAsia"/>
          <w:kern w:val="0"/>
          <w:sz w:val="32"/>
          <w:szCs w:val="32"/>
        </w:rPr>
        <w:t>乙方无法收到或没有收到当日交易结算报告的，或乙方对结算报告记载事项有异议的，应在下一个交易日连续交易开市前三十分钟以书面形式或期货经纪合同约定的其它方式通知甲方，否则视作乙方收到当日交易结算报告和对结算结果的确认。</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第六条</w:t>
      </w:r>
      <w:r w:rsidRPr="00972826">
        <w:rPr>
          <w:rFonts w:ascii="仿宋_GB2312" w:eastAsia="仿宋_GB2312" w:hAnsi="宋体" w:cs="仿宋" w:hint="eastAsia"/>
          <w:kern w:val="0"/>
          <w:sz w:val="32"/>
          <w:szCs w:val="32"/>
        </w:rPr>
        <w:t xml:space="preserve"> 乙方的风险率达到期货经纪合同约定的标准时，甲方将于当日交易结算报告中向乙方发出追加保证金通知。参与连续交易品种的，乙方应当在下一交易日连续交易集合竞价前及时追加保证金或者在开市后立即自行平仓。否则，甲方有权在连续交易期间对乙方的部分或全部未平仓合约强行平仓，直至乙方可用资金≥0。</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第七条</w:t>
      </w:r>
      <w:r w:rsidRPr="00972826">
        <w:rPr>
          <w:rFonts w:ascii="仿宋_GB2312" w:eastAsia="仿宋_GB2312" w:hAnsi="宋体" w:cs="仿宋" w:hint="eastAsia"/>
          <w:kern w:val="0"/>
          <w:sz w:val="32"/>
          <w:szCs w:val="32"/>
        </w:rPr>
        <w:t xml:space="preserve"> 连续交易期间，甲方只</w:t>
      </w:r>
      <w:proofErr w:type="gramStart"/>
      <w:r w:rsidRPr="00972826">
        <w:rPr>
          <w:rFonts w:ascii="仿宋_GB2312" w:eastAsia="仿宋_GB2312" w:hAnsi="宋体" w:cs="仿宋" w:hint="eastAsia"/>
          <w:kern w:val="0"/>
          <w:sz w:val="32"/>
          <w:szCs w:val="32"/>
        </w:rPr>
        <w:t>办理银期转账</w:t>
      </w:r>
      <w:proofErr w:type="gramEnd"/>
      <w:r w:rsidRPr="00972826">
        <w:rPr>
          <w:rFonts w:ascii="仿宋_GB2312" w:eastAsia="仿宋_GB2312" w:hAnsi="宋体" w:cs="仿宋" w:hint="eastAsia"/>
          <w:kern w:val="0"/>
          <w:sz w:val="32"/>
          <w:szCs w:val="32"/>
        </w:rPr>
        <w:t xml:space="preserve">入金、强行平仓、应急电话委托业务，受理时限、方式及其他业务受理以甲方规定为准。 </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bCs/>
          <w:kern w:val="0"/>
          <w:sz w:val="32"/>
          <w:szCs w:val="32"/>
        </w:rPr>
        <w:lastRenderedPageBreak/>
        <w:t>第八条</w:t>
      </w:r>
      <w:r w:rsidRPr="00972826">
        <w:rPr>
          <w:rFonts w:ascii="仿宋_GB2312" w:eastAsia="仿宋_GB2312" w:hAnsi="宋体" w:cs="仿宋" w:hint="eastAsia"/>
          <w:kern w:val="0"/>
          <w:sz w:val="32"/>
          <w:szCs w:val="32"/>
        </w:rPr>
        <w:t xml:space="preserve"> 因交易所调整连续交易开市收市时间、暂停交易、交易所认为的其他情况或甲方在连续交易开市前未能完成整个期货市场结算工作或完成交易系统初始化工作的，导致乙方无法参加下一交易日连续交易或仅能参加部分时段连续交易的，甲方不承担责任。 </w:t>
      </w:r>
    </w:p>
    <w:p w:rsidR="00326F19" w:rsidRPr="00972826" w:rsidRDefault="00326F19" w:rsidP="00326F19">
      <w:pPr>
        <w:widowControl/>
        <w:snapToGrid w:val="0"/>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kern w:val="0"/>
          <w:sz w:val="32"/>
          <w:szCs w:val="32"/>
        </w:rPr>
        <w:t>乙方应及时关注甲方根据《期货经纪合同》约定的方式发出的公告或通知。</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第九条</w:t>
      </w:r>
      <w:r w:rsidRPr="00972826">
        <w:rPr>
          <w:rFonts w:ascii="仿宋_GB2312" w:eastAsia="仿宋_GB2312" w:hAnsi="宋体" w:cs="仿宋" w:hint="eastAsia"/>
          <w:kern w:val="0"/>
          <w:sz w:val="32"/>
          <w:szCs w:val="32"/>
        </w:rPr>
        <w:t xml:space="preserve"> 本协议如遇与法律、法规、规则及监管部门政策相冲突时，以相关法律、法规、规则及监管部门政策为准。</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第十条</w:t>
      </w:r>
      <w:r w:rsidRPr="00972826">
        <w:rPr>
          <w:rFonts w:ascii="仿宋_GB2312" w:eastAsia="仿宋_GB2312" w:hAnsi="宋体" w:cs="仿宋" w:hint="eastAsia"/>
          <w:kern w:val="0"/>
          <w:sz w:val="32"/>
          <w:szCs w:val="32"/>
        </w:rPr>
        <w:t xml:space="preserve"> 本协议与期货经纪合同不一致之处，以本协议为准。本协议未规定事宜，按照《期货经纪合同》执行。</w:t>
      </w:r>
    </w:p>
    <w:p w:rsidR="00326F19" w:rsidRPr="00972826" w:rsidRDefault="00326F19" w:rsidP="00326F19">
      <w:pPr>
        <w:widowControl/>
        <w:snapToGrid w:val="0"/>
        <w:spacing w:line="360" w:lineRule="auto"/>
        <w:ind w:firstLineChars="200" w:firstLine="643"/>
        <w:jc w:val="left"/>
        <w:rPr>
          <w:rFonts w:ascii="仿宋_GB2312" w:eastAsia="仿宋_GB2312" w:hAnsi="宋体" w:cs="宋体"/>
          <w:kern w:val="0"/>
          <w:sz w:val="32"/>
          <w:szCs w:val="32"/>
        </w:rPr>
      </w:pPr>
      <w:r w:rsidRPr="005D6FB6">
        <w:rPr>
          <w:rFonts w:ascii="仿宋_GB2312" w:eastAsia="仿宋_GB2312" w:hAnsi="宋体" w:cs="仿宋" w:hint="eastAsia"/>
          <w:b/>
          <w:kern w:val="0"/>
          <w:sz w:val="32"/>
          <w:szCs w:val="32"/>
        </w:rPr>
        <w:t xml:space="preserve">第十一条 </w:t>
      </w:r>
      <w:r w:rsidRPr="00972826">
        <w:rPr>
          <w:rFonts w:ascii="仿宋_GB2312" w:eastAsia="仿宋_GB2312" w:hAnsi="宋体" w:cs="仿宋" w:hint="eastAsia"/>
          <w:kern w:val="0"/>
          <w:sz w:val="32"/>
          <w:szCs w:val="32"/>
        </w:rPr>
        <w:t>本协议以《期货经纪合同》约定的通知方式或在甲方营业场所、网站公告等方式向乙方发出，并于2013年7月5日起生效。</w:t>
      </w:r>
    </w:p>
    <w:p w:rsidR="00326F19" w:rsidRPr="00972826" w:rsidRDefault="00326F19" w:rsidP="00326F19">
      <w:pPr>
        <w:widowControl/>
        <w:spacing w:line="360" w:lineRule="auto"/>
        <w:ind w:firstLineChars="200" w:firstLine="640"/>
        <w:jc w:val="left"/>
        <w:rPr>
          <w:rFonts w:ascii="仿宋_GB2312" w:eastAsia="仿宋_GB2312" w:hAnsi="宋体" w:cs="宋体"/>
          <w:kern w:val="0"/>
          <w:sz w:val="32"/>
          <w:szCs w:val="32"/>
        </w:rPr>
      </w:pPr>
      <w:r w:rsidRPr="00972826">
        <w:rPr>
          <w:rFonts w:ascii="仿宋_GB2312" w:eastAsia="仿宋_GB2312" w:hAnsi="宋体" w:cs="仿宋" w:hint="eastAsia"/>
          <w:color w:val="000000"/>
          <w:kern w:val="0"/>
          <w:sz w:val="32"/>
          <w:szCs w:val="32"/>
        </w:rPr>
        <w:t>本协议生效前，乙方有权与甲方进行协商。在协调达成一致之前，</w:t>
      </w:r>
      <w:r w:rsidRPr="00972826">
        <w:rPr>
          <w:rFonts w:ascii="仿宋_GB2312" w:eastAsia="仿宋_GB2312" w:hAnsi="宋体" w:cs="仿宋" w:hint="eastAsia"/>
          <w:kern w:val="0"/>
          <w:sz w:val="32"/>
          <w:szCs w:val="32"/>
        </w:rPr>
        <w:t>乙方可自行选择不参与连续交易，一旦持有或进行了连续交易品种交易，则视为认同本补充协议</w:t>
      </w:r>
    </w:p>
    <w:p w:rsidR="00326F19" w:rsidRPr="005D6FB6" w:rsidRDefault="00326F19" w:rsidP="00326F19">
      <w:pPr>
        <w:rPr>
          <w:rFonts w:ascii="仿宋_GB2312" w:eastAsia="仿宋_GB2312"/>
          <w:sz w:val="32"/>
          <w:szCs w:val="32"/>
        </w:rPr>
      </w:pPr>
    </w:p>
    <w:p w:rsidR="00497ECA" w:rsidRPr="00326F19" w:rsidRDefault="00326F19"/>
    <w:sectPr w:rsidR="00497ECA" w:rsidRPr="00326F19" w:rsidSect="00045F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suff w:val="nothing"/>
      <w:lvlText w:val="第%1章  "/>
      <w:lvlJc w:val="left"/>
      <w:pPr>
        <w:ind w:left="200" w:firstLine="288"/>
      </w:pPr>
      <w:rPr>
        <w:rFonts w:hint="eastAsia"/>
      </w:rPr>
    </w:lvl>
    <w:lvl w:ilvl="1">
      <w:start w:val="1"/>
      <w:numFmt w:val="koreanDigital2"/>
      <w:suff w:val="nothing"/>
      <w:lvlText w:val="%2  "/>
      <w:lvlJc w:val="left"/>
      <w:pPr>
        <w:ind w:left="200" w:firstLine="0"/>
      </w:pPr>
      <w:rPr>
        <w:rFonts w:hint="eastAsia"/>
      </w:rPr>
    </w:lvl>
    <w:lvl w:ilvl="2">
      <w:start w:val="1"/>
      <w:numFmt w:val="koreanDigital2"/>
      <w:suff w:val="nothing"/>
      <w:lvlText w:val="（%3）"/>
      <w:lvlJc w:val="left"/>
      <w:pPr>
        <w:ind w:left="851" w:firstLine="0"/>
      </w:pPr>
      <w:rPr>
        <w:rFonts w:hint="eastAsia"/>
      </w:rPr>
    </w:lvl>
    <w:lvl w:ilvl="3">
      <w:start w:val="1"/>
      <w:numFmt w:val="none"/>
      <w:suff w:val="nothing"/>
      <w:lvlText w:val=""/>
      <w:lvlJc w:val="left"/>
      <w:pPr>
        <w:ind w:left="200" w:firstLine="0"/>
      </w:pPr>
      <w:rPr>
        <w:rFonts w:hint="eastAsia"/>
      </w:rPr>
    </w:lvl>
    <w:lvl w:ilvl="4">
      <w:start w:val="1"/>
      <w:numFmt w:val="none"/>
      <w:suff w:val="nothing"/>
      <w:lvlText w:val=""/>
      <w:lvlJc w:val="left"/>
      <w:pPr>
        <w:ind w:left="200" w:firstLine="0"/>
      </w:pPr>
      <w:rPr>
        <w:rFonts w:hint="eastAsia"/>
      </w:rPr>
    </w:lvl>
    <w:lvl w:ilvl="5">
      <w:start w:val="1"/>
      <w:numFmt w:val="none"/>
      <w:suff w:val="nothing"/>
      <w:lvlText w:val=""/>
      <w:lvlJc w:val="left"/>
      <w:pPr>
        <w:ind w:left="200" w:firstLine="0"/>
      </w:pPr>
      <w:rPr>
        <w:rFonts w:hint="eastAsia"/>
      </w:rPr>
    </w:lvl>
    <w:lvl w:ilvl="6">
      <w:start w:val="1"/>
      <w:numFmt w:val="none"/>
      <w:suff w:val="nothing"/>
      <w:lvlText w:val=""/>
      <w:lvlJc w:val="left"/>
      <w:pPr>
        <w:ind w:left="200" w:firstLine="0"/>
      </w:pPr>
      <w:rPr>
        <w:rFonts w:hint="eastAsia"/>
      </w:rPr>
    </w:lvl>
    <w:lvl w:ilvl="7">
      <w:start w:val="1"/>
      <w:numFmt w:val="none"/>
      <w:suff w:val="nothing"/>
      <w:lvlText w:val=""/>
      <w:lvlJc w:val="left"/>
      <w:pPr>
        <w:ind w:left="200" w:firstLine="0"/>
      </w:pPr>
      <w:rPr>
        <w:rFonts w:hint="eastAsia"/>
      </w:rPr>
    </w:lvl>
    <w:lvl w:ilvl="8">
      <w:start w:val="1"/>
      <w:numFmt w:val="none"/>
      <w:suff w:val="nothing"/>
      <w:lvlText w:val=""/>
      <w:lvlJc w:val="left"/>
      <w:pPr>
        <w:ind w:left="200" w:firstLine="0"/>
      </w:pPr>
      <w:rPr>
        <w:rFonts w:hint="eastAsia"/>
      </w:rPr>
    </w:lvl>
  </w:abstractNum>
  <w:abstractNum w:abstractNumId="1">
    <w:nsid w:val="0000001F"/>
    <w:multiLevelType w:val="multilevel"/>
    <w:tmpl w:val="0000001F"/>
    <w:lvl w:ilvl="0">
      <w:start w:val="1"/>
      <w:numFmt w:val="chineseCountingThousand"/>
      <w:suff w:val="nothing"/>
      <w:lvlText w:val="第%1章  "/>
      <w:lvlJc w:val="left"/>
      <w:pPr>
        <w:ind w:left="-288" w:firstLine="288"/>
      </w:pPr>
      <w:rPr>
        <w:rFonts w:hint="eastAsia"/>
      </w:rPr>
    </w:lvl>
    <w:lvl w:ilvl="1">
      <w:start w:val="1"/>
      <w:numFmt w:val="koreanDigital2"/>
      <w:suff w:val="nothing"/>
      <w:lvlText w:val="%2  "/>
      <w:lvlJc w:val="left"/>
      <w:pPr>
        <w:ind w:left="-288" w:firstLine="0"/>
      </w:pPr>
      <w:rPr>
        <w:rFonts w:hint="eastAsia"/>
      </w:rPr>
    </w:lvl>
    <w:lvl w:ilvl="2">
      <w:start w:val="1"/>
      <w:numFmt w:val="koreanDigital2"/>
      <w:suff w:val="nothing"/>
      <w:lvlText w:val="（%3）"/>
      <w:lvlJc w:val="left"/>
      <w:pPr>
        <w:ind w:left="363" w:firstLine="0"/>
      </w:pPr>
      <w:rPr>
        <w:rFonts w:hint="eastAsia"/>
      </w:rPr>
    </w:lvl>
    <w:lvl w:ilvl="3">
      <w:start w:val="1"/>
      <w:numFmt w:val="none"/>
      <w:suff w:val="nothing"/>
      <w:lvlText w:val=""/>
      <w:lvlJc w:val="left"/>
      <w:pPr>
        <w:ind w:left="-288" w:firstLine="0"/>
      </w:pPr>
      <w:rPr>
        <w:rFonts w:hint="eastAsia"/>
      </w:rPr>
    </w:lvl>
    <w:lvl w:ilvl="4">
      <w:start w:val="1"/>
      <w:numFmt w:val="none"/>
      <w:suff w:val="nothing"/>
      <w:lvlText w:val=""/>
      <w:lvlJc w:val="left"/>
      <w:pPr>
        <w:ind w:left="-288" w:firstLine="0"/>
      </w:pPr>
      <w:rPr>
        <w:rFonts w:hint="eastAsia"/>
      </w:rPr>
    </w:lvl>
    <w:lvl w:ilvl="5">
      <w:start w:val="1"/>
      <w:numFmt w:val="none"/>
      <w:suff w:val="nothing"/>
      <w:lvlText w:val=""/>
      <w:lvlJc w:val="left"/>
      <w:pPr>
        <w:ind w:left="-288" w:firstLine="0"/>
      </w:pPr>
      <w:rPr>
        <w:rFonts w:hint="eastAsia"/>
      </w:rPr>
    </w:lvl>
    <w:lvl w:ilvl="6">
      <w:start w:val="1"/>
      <w:numFmt w:val="none"/>
      <w:suff w:val="nothing"/>
      <w:lvlText w:val=""/>
      <w:lvlJc w:val="left"/>
      <w:pPr>
        <w:ind w:left="-288" w:firstLine="0"/>
      </w:pPr>
      <w:rPr>
        <w:rFonts w:hint="eastAsia"/>
      </w:rPr>
    </w:lvl>
    <w:lvl w:ilvl="7">
      <w:start w:val="1"/>
      <w:numFmt w:val="none"/>
      <w:suff w:val="nothing"/>
      <w:lvlText w:val=""/>
      <w:lvlJc w:val="left"/>
      <w:pPr>
        <w:ind w:left="-288" w:firstLine="0"/>
      </w:pPr>
      <w:rPr>
        <w:rFonts w:hint="eastAsia"/>
      </w:rPr>
    </w:lvl>
    <w:lvl w:ilvl="8">
      <w:start w:val="1"/>
      <w:numFmt w:val="none"/>
      <w:suff w:val="nothing"/>
      <w:lvlText w:val=""/>
      <w:lvlJc w:val="left"/>
      <w:pPr>
        <w:ind w:left="-288" w:firstLine="0"/>
      </w:pPr>
      <w:rPr>
        <w:rFonts w:hint="eastAsia"/>
      </w:rPr>
    </w:lvl>
  </w:abstractNum>
  <w:abstractNum w:abstractNumId="2">
    <w:nsid w:val="0000002B"/>
    <w:multiLevelType w:val="multilevel"/>
    <w:tmpl w:val="0000002B"/>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2D"/>
    <w:multiLevelType w:val="multilevel"/>
    <w:tmpl w:val="0000002D"/>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F19"/>
    <w:rsid w:val="00045F24"/>
    <w:rsid w:val="001023B7"/>
    <w:rsid w:val="00326F19"/>
    <w:rsid w:val="004B001B"/>
    <w:rsid w:val="00774FA8"/>
    <w:rsid w:val="008105F7"/>
    <w:rsid w:val="00840BC4"/>
    <w:rsid w:val="009F47A9"/>
    <w:rsid w:val="00B10319"/>
    <w:rsid w:val="00DF79BC"/>
    <w:rsid w:val="00E76B75"/>
    <w:rsid w:val="00EF7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19"/>
    <w:pPr>
      <w:widowControl w:val="0"/>
      <w:jc w:val="both"/>
    </w:pPr>
    <w:rPr>
      <w:kern w:val="2"/>
      <w:sz w:val="21"/>
      <w:szCs w:val="24"/>
    </w:rPr>
  </w:style>
  <w:style w:type="paragraph" w:styleId="1">
    <w:name w:val="heading 1"/>
    <w:basedOn w:val="a"/>
    <w:next w:val="a"/>
    <w:link w:val="1Char"/>
    <w:qFormat/>
    <w:rsid w:val="00DF79BC"/>
    <w:pPr>
      <w:keepNext/>
      <w:pageBreakBefore/>
      <w:spacing w:line="720" w:lineRule="auto"/>
      <w:jc w:val="center"/>
      <w:outlineLvl w:val="0"/>
    </w:pPr>
    <w:rPr>
      <w:b/>
      <w:smallCaps/>
      <w:sz w:val="36"/>
      <w:szCs w:val="36"/>
    </w:rPr>
  </w:style>
  <w:style w:type="paragraph" w:styleId="2">
    <w:name w:val="heading 2"/>
    <w:basedOn w:val="a"/>
    <w:next w:val="a"/>
    <w:link w:val="2Char"/>
    <w:qFormat/>
    <w:rsid w:val="00DF79BC"/>
    <w:pPr>
      <w:keepNext/>
      <w:keepLines/>
      <w:spacing w:line="360" w:lineRule="auto"/>
      <w:jc w:val="center"/>
      <w:outlineLvl w:val="1"/>
    </w:pPr>
    <w:rPr>
      <w:b/>
      <w:smallCaps/>
      <w:sz w:val="30"/>
      <w:szCs w:val="30"/>
    </w:rPr>
  </w:style>
  <w:style w:type="paragraph" w:styleId="3">
    <w:name w:val="heading 3"/>
    <w:basedOn w:val="a"/>
    <w:next w:val="a"/>
    <w:link w:val="3Char"/>
    <w:qFormat/>
    <w:rsid w:val="00DF79BC"/>
    <w:pPr>
      <w:keepNext/>
      <w:keepLines/>
      <w:spacing w:line="360" w:lineRule="auto"/>
      <w:jc w:val="left"/>
      <w:outlineLvl w:val="2"/>
    </w:pPr>
    <w:rPr>
      <w:rFonts w:eastAsia="楷体_GB2312"/>
      <w:b/>
      <w:smallCaps/>
      <w:sz w:val="30"/>
      <w:szCs w:val="20"/>
    </w:rPr>
  </w:style>
  <w:style w:type="paragraph" w:styleId="4">
    <w:name w:val="heading 4"/>
    <w:basedOn w:val="a"/>
    <w:next w:val="a"/>
    <w:link w:val="4Char"/>
    <w:qFormat/>
    <w:rsid w:val="00DF79BC"/>
    <w:pPr>
      <w:keepNext/>
      <w:keepLines/>
      <w:spacing w:before="280" w:after="290" w:line="376" w:lineRule="auto"/>
      <w:outlineLvl w:val="3"/>
    </w:pPr>
    <w:rPr>
      <w:rFonts w:ascii="Arial" w:eastAsia="黑体" w:hAnsi="Arial"/>
      <w:sz w:val="28"/>
      <w:szCs w:val="28"/>
    </w:rPr>
  </w:style>
  <w:style w:type="paragraph" w:styleId="5">
    <w:name w:val="heading 5"/>
    <w:basedOn w:val="a"/>
    <w:next w:val="a"/>
    <w:link w:val="5Char"/>
    <w:qFormat/>
    <w:rsid w:val="00DF79BC"/>
    <w:pPr>
      <w:keepNext/>
      <w:jc w:val="center"/>
      <w:outlineLvl w:val="4"/>
    </w:pPr>
    <w:rPr>
      <w:rFonts w:ascii="Verdana" w:hAnsi="Verdana"/>
      <w:b/>
      <w:bCs/>
    </w:rPr>
  </w:style>
  <w:style w:type="paragraph" w:styleId="6">
    <w:name w:val="heading 6"/>
    <w:basedOn w:val="a"/>
    <w:next w:val="a"/>
    <w:link w:val="6Char"/>
    <w:qFormat/>
    <w:rsid w:val="00DF79BC"/>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DF79BC"/>
    <w:pPr>
      <w:keepNext/>
      <w:keepLines/>
      <w:spacing w:before="240" w:after="64" w:line="320" w:lineRule="auto"/>
      <w:outlineLvl w:val="6"/>
    </w:pPr>
    <w:rPr>
      <w:b/>
      <w:bCs/>
      <w:sz w:val="24"/>
    </w:rPr>
  </w:style>
  <w:style w:type="paragraph" w:styleId="8">
    <w:name w:val="heading 8"/>
    <w:basedOn w:val="a"/>
    <w:next w:val="a"/>
    <w:link w:val="8Char"/>
    <w:qFormat/>
    <w:rsid w:val="00DF79BC"/>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DF79B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79BC"/>
    <w:rPr>
      <w:rFonts w:eastAsia="宋体"/>
      <w:b/>
      <w:smallCaps/>
      <w:kern w:val="2"/>
      <w:sz w:val="36"/>
      <w:szCs w:val="36"/>
      <w:lang w:val="en-US" w:eastAsia="zh-CN" w:bidi="ar-SA"/>
    </w:rPr>
  </w:style>
  <w:style w:type="character" w:customStyle="1" w:styleId="2Char">
    <w:name w:val="标题 2 Char"/>
    <w:basedOn w:val="a0"/>
    <w:link w:val="2"/>
    <w:rsid w:val="00DF79BC"/>
    <w:rPr>
      <w:rFonts w:eastAsia="宋体"/>
      <w:b/>
      <w:smallCaps/>
      <w:kern w:val="2"/>
      <w:sz w:val="30"/>
      <w:szCs w:val="30"/>
      <w:lang w:val="en-US" w:eastAsia="zh-CN" w:bidi="ar-SA"/>
    </w:rPr>
  </w:style>
  <w:style w:type="character" w:customStyle="1" w:styleId="3Char">
    <w:name w:val="标题 3 Char"/>
    <w:basedOn w:val="a0"/>
    <w:link w:val="3"/>
    <w:rsid w:val="00DF79BC"/>
    <w:rPr>
      <w:rFonts w:eastAsia="楷体_GB2312"/>
      <w:b/>
      <w:smallCaps/>
      <w:kern w:val="2"/>
      <w:sz w:val="30"/>
      <w:lang w:val="en-US" w:eastAsia="zh-CN" w:bidi="ar-SA"/>
    </w:rPr>
  </w:style>
  <w:style w:type="character" w:customStyle="1" w:styleId="4Char">
    <w:name w:val="标题 4 Char"/>
    <w:basedOn w:val="a0"/>
    <w:link w:val="4"/>
    <w:rsid w:val="00DF79BC"/>
    <w:rPr>
      <w:rFonts w:ascii="Arial" w:eastAsia="黑体" w:hAnsi="Arial"/>
      <w:kern w:val="2"/>
      <w:sz w:val="28"/>
      <w:szCs w:val="28"/>
      <w:lang w:val="en-US" w:eastAsia="zh-CN" w:bidi="ar-SA"/>
    </w:rPr>
  </w:style>
  <w:style w:type="character" w:customStyle="1" w:styleId="5Char">
    <w:name w:val="标题 5 Char"/>
    <w:basedOn w:val="a0"/>
    <w:link w:val="5"/>
    <w:rsid w:val="00E76B75"/>
    <w:rPr>
      <w:rFonts w:ascii="Verdana" w:hAnsi="Verdana"/>
      <w:b/>
      <w:bCs/>
      <w:kern w:val="2"/>
      <w:sz w:val="21"/>
      <w:szCs w:val="24"/>
    </w:rPr>
  </w:style>
  <w:style w:type="character" w:customStyle="1" w:styleId="6Char">
    <w:name w:val="标题 6 Char"/>
    <w:basedOn w:val="a0"/>
    <w:link w:val="6"/>
    <w:rsid w:val="00E76B75"/>
    <w:rPr>
      <w:rFonts w:ascii="Arial" w:eastAsia="黑体" w:hAnsi="Arial"/>
      <w:b/>
      <w:bCs/>
      <w:kern w:val="2"/>
      <w:sz w:val="24"/>
      <w:szCs w:val="24"/>
    </w:rPr>
  </w:style>
  <w:style w:type="character" w:customStyle="1" w:styleId="7Char">
    <w:name w:val="标题 7 Char"/>
    <w:basedOn w:val="a0"/>
    <w:link w:val="7"/>
    <w:rsid w:val="00E76B75"/>
    <w:rPr>
      <w:b/>
      <w:bCs/>
      <w:kern w:val="2"/>
      <w:sz w:val="24"/>
      <w:szCs w:val="24"/>
    </w:rPr>
  </w:style>
  <w:style w:type="character" w:customStyle="1" w:styleId="8Char">
    <w:name w:val="标题 8 Char"/>
    <w:basedOn w:val="a0"/>
    <w:link w:val="8"/>
    <w:rsid w:val="00E76B75"/>
    <w:rPr>
      <w:rFonts w:ascii="Arial" w:eastAsia="黑体" w:hAnsi="Arial"/>
      <w:kern w:val="2"/>
      <w:sz w:val="24"/>
      <w:szCs w:val="24"/>
    </w:rPr>
  </w:style>
  <w:style w:type="character" w:customStyle="1" w:styleId="9Char">
    <w:name w:val="标题 9 Char"/>
    <w:basedOn w:val="a0"/>
    <w:link w:val="9"/>
    <w:rsid w:val="00E76B75"/>
    <w:rPr>
      <w:rFonts w:ascii="Arial" w:eastAsia="黑体" w:hAnsi="Arial"/>
      <w:kern w:val="2"/>
      <w:sz w:val="21"/>
      <w:szCs w:val="21"/>
    </w:rPr>
  </w:style>
  <w:style w:type="paragraph" w:styleId="a3">
    <w:name w:val="caption"/>
    <w:basedOn w:val="a"/>
    <w:next w:val="a"/>
    <w:qFormat/>
    <w:rsid w:val="00DF79BC"/>
    <w:pPr>
      <w:spacing w:before="152" w:after="160"/>
      <w:ind w:firstLine="425"/>
    </w:pPr>
    <w:rPr>
      <w:rFonts w:ascii="Arial" w:eastAsia="黑体" w:hAnsi="Arial" w:cs="Arial"/>
      <w:sz w:val="20"/>
      <w:szCs w:val="20"/>
    </w:rPr>
  </w:style>
  <w:style w:type="paragraph" w:styleId="a4">
    <w:name w:val="Title"/>
    <w:basedOn w:val="a"/>
    <w:next w:val="a"/>
    <w:link w:val="Char"/>
    <w:qFormat/>
    <w:rsid w:val="00DF79BC"/>
    <w:pPr>
      <w:pageBreakBefore/>
      <w:spacing w:line="480" w:lineRule="auto"/>
      <w:jc w:val="center"/>
    </w:pPr>
    <w:rPr>
      <w:rFonts w:ascii="宋体"/>
      <w:b/>
      <w:snapToGrid w:val="0"/>
      <w:kern w:val="0"/>
      <w:sz w:val="36"/>
      <w:szCs w:val="20"/>
    </w:rPr>
  </w:style>
  <w:style w:type="character" w:customStyle="1" w:styleId="Char">
    <w:name w:val="标题 Char"/>
    <w:basedOn w:val="a0"/>
    <w:link w:val="a4"/>
    <w:rsid w:val="00E76B75"/>
    <w:rPr>
      <w:rFonts w:ascii="宋体"/>
      <w:b/>
      <w:snapToGrid w:val="0"/>
      <w:sz w:val="36"/>
    </w:rPr>
  </w:style>
  <w:style w:type="character" w:styleId="a5">
    <w:name w:val="Strong"/>
    <w:basedOn w:val="a0"/>
    <w:qFormat/>
    <w:rsid w:val="00DF79BC"/>
    <w:rPr>
      <w:b/>
      <w:bCs/>
    </w:rPr>
  </w:style>
  <w:style w:type="character" w:styleId="a6">
    <w:name w:val="Emphasis"/>
    <w:basedOn w:val="a0"/>
    <w:qFormat/>
    <w:rsid w:val="00DF79BC"/>
    <w:rPr>
      <w:i/>
      <w:iCs/>
    </w:rPr>
  </w:style>
  <w:style w:type="paragraph" w:styleId="a7">
    <w:name w:val="List Paragraph"/>
    <w:basedOn w:val="a"/>
    <w:qFormat/>
    <w:rsid w:val="00DF79BC"/>
    <w:pPr>
      <w:spacing w:line="360" w:lineRule="auto"/>
      <w:ind w:firstLineChars="200" w:firstLine="420"/>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1147</Characters>
  <Application>Microsoft Office Word</Application>
  <DocSecurity>0</DocSecurity>
  <Lines>9</Lines>
  <Paragraphs>2</Paragraphs>
  <ScaleCrop>false</ScaleCrop>
  <Company>WwW.YlmF.CoM</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2013-07-04T07:22:00Z</dcterms:created>
  <dcterms:modified xsi:type="dcterms:W3CDTF">2013-07-04T07:23:00Z</dcterms:modified>
</cp:coreProperties>
</file>