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pPr>
    </w:p>
    <w:p>
      <w:pPr>
        <w:pStyle w:val="2"/>
        <w:keepNext w:val="0"/>
        <w:keepLines w:val="0"/>
        <w:widowControl/>
        <w:suppressLineNumbers w:val="0"/>
        <w:wordWrap w:val="0"/>
        <w:spacing w:line="405" w:lineRule="atLeast"/>
        <w:ind w:left="2535"/>
        <w:jc w:val="both"/>
      </w:pPr>
      <w:r>
        <w:rPr>
          <w:rFonts w:hint="eastAsia" w:ascii="宋体" w:hAnsi="宋体" w:eastAsia="宋体" w:cs="宋体"/>
          <w:color w:val="4D4D4D"/>
          <w:sz w:val="24"/>
          <w:szCs w:val="24"/>
          <w:bdr w:val="none" w:color="auto" w:sz="0" w:space="0"/>
          <w:shd w:val="clear" w:fill="FFFFFF"/>
        </w:rPr>
        <w:t> </w:t>
      </w:r>
      <w:bookmarkStart w:id="0" w:name="_GoBack"/>
      <w:r>
        <w:rPr>
          <w:rStyle w:val="5"/>
          <w:rFonts w:hint="eastAsia" w:ascii="宋体" w:hAnsi="宋体" w:eastAsia="宋体" w:cs="宋体"/>
          <w:color w:val="4D4D4D"/>
          <w:sz w:val="28"/>
          <w:szCs w:val="28"/>
          <w:shd w:val="clear" w:fill="FFFFFF"/>
        </w:rPr>
        <w:t>产品或服务风险等级名录</w:t>
      </w:r>
      <w:bookmarkEnd w:id="0"/>
    </w:p>
    <w:p>
      <w:pPr>
        <w:pStyle w:val="2"/>
        <w:keepNext w:val="0"/>
        <w:keepLines w:val="0"/>
        <w:widowControl/>
        <w:suppressLineNumbers w:val="0"/>
        <w:wordWrap w:val="0"/>
        <w:spacing w:line="420" w:lineRule="atLeast"/>
        <w:ind w:firstLine="480" w:firstLineChars="200"/>
      </w:pPr>
      <w:r>
        <w:rPr>
          <w:rFonts w:hint="eastAsia"/>
        </w:rPr>
        <w:t>本名录不代表本公司对相关产品及服务的风险和收益做出实质性的判断或保证。</w:t>
      </w:r>
    </w:p>
    <w:tbl>
      <w:tblPr>
        <w:tblStyle w:val="3"/>
        <w:tblpPr w:leftFromText="180" w:rightFromText="180" w:vertAnchor="text" w:horzAnchor="page" w:tblpX="2057" w:tblpY="244"/>
        <w:tblOverlap w:val="neve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40"/>
        <w:gridCol w:w="58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15" w:type="dxa"/>
        </w:trPr>
        <w:tc>
          <w:tcPr>
            <w:tcW w:w="799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Style w:val="5"/>
                <w:rFonts w:hint="eastAsia" w:ascii="宋体" w:hAnsi="宋体" w:eastAsia="宋体" w:cs="宋体"/>
                <w:color w:val="4D4D4D"/>
                <w:sz w:val="24"/>
                <w:szCs w:val="24"/>
              </w:rPr>
              <w:t>产品或服务风险等级名录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tblCellSpacing w:w="15" w:type="dxa"/>
        </w:trPr>
        <w:tc>
          <w:tcPr>
            <w:tcW w:w="219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Style w:val="5"/>
                <w:rFonts w:hint="eastAsia" w:ascii="宋体" w:hAnsi="宋体" w:eastAsia="宋体" w:cs="宋体"/>
                <w:color w:val="4D4D4D"/>
                <w:sz w:val="24"/>
                <w:szCs w:val="24"/>
              </w:rPr>
              <w:t>风险等级</w:t>
            </w:r>
          </w:p>
        </w:tc>
        <w:tc>
          <w:tcPr>
            <w:tcW w:w="5770" w:type="dxa"/>
            <w:tcBorders>
              <w:top w:val="nil"/>
              <w:left w:val="nil"/>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Style w:val="5"/>
                <w:rFonts w:hint="eastAsia" w:ascii="宋体" w:hAnsi="宋体" w:eastAsia="宋体" w:cs="宋体"/>
                <w:color w:val="4D4D4D"/>
                <w:sz w:val="24"/>
                <w:szCs w:val="24"/>
              </w:rPr>
              <w:t>标的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tblCellSpacing w:w="15" w:type="dxa"/>
        </w:trPr>
        <w:tc>
          <w:tcPr>
            <w:tcW w:w="219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Fonts w:hint="eastAsia" w:ascii="宋体" w:hAnsi="宋体" w:eastAsia="宋体" w:cs="宋体"/>
                <w:color w:val="4D4D4D"/>
                <w:sz w:val="24"/>
                <w:szCs w:val="24"/>
              </w:rPr>
              <w:t>R1</w:t>
            </w:r>
          </w:p>
        </w:tc>
        <w:tc>
          <w:tcPr>
            <w:tcW w:w="5770" w:type="dxa"/>
            <w:tcBorders>
              <w:top w:val="nil"/>
              <w:left w:val="nil"/>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line="405" w:lineRule="atLeast"/>
            </w:pPr>
            <w:r>
              <w:rPr>
                <w:rFonts w:hint="eastAsia" w:ascii="宋体" w:hAnsi="宋体" w:eastAsia="宋体" w:cs="宋体"/>
                <w:color w:val="4D4D4D"/>
                <w:sz w:val="24"/>
                <w:szCs w:val="24"/>
              </w:rPr>
              <w:t>资管产品备案机构风险等级名录R1等级的产品及服务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tblCellSpacing w:w="15" w:type="dxa"/>
        </w:trPr>
        <w:tc>
          <w:tcPr>
            <w:tcW w:w="219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Fonts w:hint="eastAsia" w:ascii="宋体" w:hAnsi="宋体" w:eastAsia="宋体" w:cs="宋体"/>
                <w:color w:val="4D4D4D"/>
                <w:sz w:val="24"/>
                <w:szCs w:val="24"/>
              </w:rPr>
              <w:t>R2</w:t>
            </w:r>
          </w:p>
        </w:tc>
        <w:tc>
          <w:tcPr>
            <w:tcW w:w="5770" w:type="dxa"/>
            <w:tcBorders>
              <w:top w:val="nil"/>
              <w:left w:val="nil"/>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line="405" w:lineRule="atLeast"/>
            </w:pPr>
            <w:r>
              <w:rPr>
                <w:rFonts w:hint="eastAsia" w:ascii="宋体" w:hAnsi="宋体" w:eastAsia="宋体" w:cs="宋体"/>
                <w:color w:val="4D4D4D"/>
                <w:sz w:val="24"/>
                <w:szCs w:val="24"/>
              </w:rPr>
              <w:t>资管产品备案机构风险等级名录R2等级的产品及服务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blCellSpacing w:w="15" w:type="dxa"/>
        </w:trPr>
        <w:tc>
          <w:tcPr>
            <w:tcW w:w="219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Fonts w:hint="eastAsia" w:ascii="宋体" w:hAnsi="宋体" w:eastAsia="宋体" w:cs="宋体"/>
                <w:color w:val="4D4D4D"/>
                <w:sz w:val="24"/>
                <w:szCs w:val="24"/>
              </w:rPr>
              <w:t>R3</w:t>
            </w:r>
          </w:p>
        </w:tc>
        <w:tc>
          <w:tcPr>
            <w:tcW w:w="5770" w:type="dxa"/>
            <w:tcBorders>
              <w:top w:val="nil"/>
              <w:left w:val="nil"/>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line="405" w:lineRule="atLeast"/>
            </w:pPr>
            <w:r>
              <w:rPr>
                <w:rFonts w:hint="eastAsia" w:ascii="宋体" w:hAnsi="宋体" w:eastAsia="宋体" w:cs="宋体"/>
                <w:color w:val="4D4D4D"/>
                <w:sz w:val="24"/>
                <w:szCs w:val="24"/>
              </w:rPr>
              <w:t>包括但不限于商品期货(除原油期货以外)及相关服务、资管产品备案机构风险等级名录R3等级的产品及服务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blCellSpacing w:w="15" w:type="dxa"/>
        </w:trPr>
        <w:tc>
          <w:tcPr>
            <w:tcW w:w="219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Fonts w:hint="eastAsia" w:ascii="宋体" w:hAnsi="宋体" w:eastAsia="宋体" w:cs="宋体"/>
                <w:color w:val="4D4D4D"/>
                <w:sz w:val="24"/>
                <w:szCs w:val="24"/>
              </w:rPr>
              <w:t>R4</w:t>
            </w:r>
          </w:p>
        </w:tc>
        <w:tc>
          <w:tcPr>
            <w:tcW w:w="5770" w:type="dxa"/>
            <w:tcBorders>
              <w:top w:val="nil"/>
              <w:left w:val="nil"/>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line="405" w:lineRule="atLeast"/>
            </w:pPr>
            <w:r>
              <w:rPr>
                <w:rFonts w:hint="eastAsia" w:ascii="宋体" w:hAnsi="宋体" w:eastAsia="宋体" w:cs="宋体"/>
                <w:color w:val="4D4D4D"/>
                <w:sz w:val="24"/>
                <w:szCs w:val="24"/>
              </w:rPr>
              <w:t>包括但不限于金融期货、期权、原油期货、承担有限风险敞口的场外衍生产品及相关服务、资管产品备案机构风险等级名录R4等级的产品及服务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blCellSpacing w:w="15" w:type="dxa"/>
        </w:trPr>
        <w:tc>
          <w:tcPr>
            <w:tcW w:w="219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before="0" w:beforeAutospacing="1" w:after="0" w:afterAutospacing="1" w:line="405" w:lineRule="atLeast"/>
              <w:jc w:val="center"/>
            </w:pPr>
            <w:r>
              <w:rPr>
                <w:rFonts w:hint="eastAsia" w:ascii="宋体" w:hAnsi="宋体" w:eastAsia="宋体" w:cs="宋体"/>
                <w:color w:val="4D4D4D"/>
                <w:sz w:val="24"/>
                <w:szCs w:val="24"/>
              </w:rPr>
              <w:t>R5</w:t>
            </w:r>
          </w:p>
        </w:tc>
        <w:tc>
          <w:tcPr>
            <w:tcW w:w="5770" w:type="dxa"/>
            <w:tcBorders>
              <w:top w:val="nil"/>
              <w:left w:val="nil"/>
              <w:bottom w:val="single" w:color="DDDDDD" w:sz="6" w:space="0"/>
              <w:right w:val="single" w:color="DDDDDD" w:sz="6" w:space="0"/>
            </w:tcBorders>
            <w:shd w:val="clear" w:color="auto" w:fill="auto"/>
            <w:tcMar>
              <w:top w:w="0" w:type="dxa"/>
              <w:left w:w="105" w:type="dxa"/>
              <w:bottom w:w="0" w:type="dxa"/>
              <w:right w:w="105" w:type="dxa"/>
            </w:tcMar>
            <w:vAlign w:val="center"/>
          </w:tcPr>
          <w:p>
            <w:pPr>
              <w:pStyle w:val="2"/>
              <w:keepNext w:val="0"/>
              <w:keepLines w:val="0"/>
              <w:widowControl/>
              <w:suppressLineNumbers w:val="0"/>
              <w:wordWrap w:val="0"/>
              <w:spacing w:line="405" w:lineRule="atLeast"/>
            </w:pPr>
            <w:r>
              <w:rPr>
                <w:rFonts w:hint="eastAsia" w:ascii="宋体" w:hAnsi="宋体" w:eastAsia="宋体" w:cs="宋体"/>
                <w:color w:val="4D4D4D"/>
                <w:sz w:val="24"/>
                <w:szCs w:val="24"/>
              </w:rPr>
              <w:t>包括但不限于承担无限风险敞口的场外衍生产品及相关服务、资管产品备案机构风险等级名录R5等级的产品及服务</w:t>
            </w:r>
          </w:p>
        </w:tc>
      </w:tr>
    </w:tbl>
    <w:p>
      <w:pPr>
        <w:pStyle w:val="2"/>
        <w:keepNext w:val="0"/>
        <w:keepLines w:val="0"/>
        <w:widowControl/>
        <w:suppressLineNumbers w:val="0"/>
        <w:wordWrap w:val="0"/>
        <w:spacing w:line="23" w:lineRule="atLeast"/>
        <w:ind w:left="2535"/>
      </w:pPr>
      <w:r>
        <w:rPr>
          <w:rFonts w:hint="eastAsia" w:ascii="宋体" w:hAnsi="宋体" w:eastAsia="宋体" w:cs="宋体"/>
          <w:color w:val="4D4D4D"/>
          <w:sz w:val="24"/>
          <w:szCs w:val="24"/>
          <w:bdr w:val="none" w:color="auto" w:sz="0" w:space="0"/>
          <w:shd w:val="clear" w:fill="FFFFFF"/>
        </w:rPr>
        <w:t> </w:t>
      </w:r>
    </w:p>
    <w:p>
      <w:pPr>
        <w:pStyle w:val="2"/>
        <w:keepNext w:val="0"/>
        <w:keepLines w:val="0"/>
        <w:widowControl/>
        <w:suppressLineNumbers w:val="0"/>
        <w:wordWrap w:val="0"/>
        <w:spacing w:line="23" w:lineRule="atLeast"/>
        <w:rPr>
          <w:rFonts w:hint="eastAsia"/>
        </w:rPr>
      </w:pPr>
      <w:r>
        <w:rPr>
          <w:rFonts w:hint="eastAsia"/>
        </w:rPr>
        <w:t>注：1. 期货公司风险管理子公司开展风险管理服务业务的,应当根据业务涉及的产品及服务标的来划分风险等级；</w:t>
      </w:r>
    </w:p>
    <w:p>
      <w:pPr>
        <w:pStyle w:val="2"/>
        <w:keepNext w:val="0"/>
        <w:keepLines w:val="0"/>
        <w:widowControl/>
        <w:suppressLineNumbers w:val="0"/>
        <w:wordWrap w:val="0"/>
        <w:spacing w:line="23" w:lineRule="atLeast"/>
        <w:rPr>
          <w:rFonts w:hint="eastAsia"/>
        </w:rPr>
      </w:pPr>
      <w:r>
        <w:rPr>
          <w:rFonts w:hint="eastAsia"/>
        </w:rPr>
        <w:t>2. 期货经营机构资产管理计划的分级参考监管部门及相关产品备案机构标准；</w:t>
      </w:r>
    </w:p>
    <w:p>
      <w:pPr>
        <w:pStyle w:val="2"/>
        <w:keepNext w:val="0"/>
        <w:keepLines w:val="0"/>
        <w:widowControl/>
        <w:suppressLineNumbers w:val="0"/>
        <w:wordWrap w:val="0"/>
        <w:spacing w:line="23" w:lineRule="atLeast"/>
      </w:pPr>
      <w:r>
        <w:rPr>
          <w:rFonts w:hint="eastAsia"/>
        </w:rPr>
        <w:t>3.期货经营机构从事证券交易所股票期权业务的适当性管理参考监管部门及相关产品备案机构标准。</w:t>
      </w:r>
    </w:p>
    <w:p>
      <w:pPr>
        <w:pStyle w:val="32"/>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ZmRmZTFjNmZkZTM5NjZhNmRmOGNiNmFlZDE3ZTcifQ=="/>
  </w:docVars>
  <w:rsids>
    <w:rsidRoot w:val="00000000"/>
    <w:rsid w:val="6ABC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A80B5"/>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4A80B5"/>
      <w:u w:val="none"/>
    </w:rPr>
  </w:style>
  <w:style w:type="character" w:styleId="11">
    <w:name w:val="HTML Code"/>
    <w:basedOn w:val="4"/>
    <w:uiPriority w:val="0"/>
    <w:rPr>
      <w:rFonts w:hint="default" w:ascii="Courier New" w:hAnsi="Courier New" w:eastAsia="Courier New" w:cs="Courier New"/>
      <w:sz w:val="20"/>
    </w:rPr>
  </w:style>
  <w:style w:type="character" w:styleId="12">
    <w:name w:val="HTML Cite"/>
    <w:basedOn w:val="4"/>
    <w:uiPriority w:val="0"/>
  </w:style>
  <w:style w:type="character" w:styleId="13">
    <w:name w:val="HTML Keyboard"/>
    <w:basedOn w:val="4"/>
    <w:uiPriority w:val="0"/>
    <w:rPr>
      <w:rFonts w:hint="default" w:ascii="Courier New" w:hAnsi="Courier New" w:eastAsia="Courier New" w:cs="Courier New"/>
      <w:sz w:val="20"/>
    </w:rPr>
  </w:style>
  <w:style w:type="character" w:styleId="14">
    <w:name w:val="HTML Sample"/>
    <w:basedOn w:val="4"/>
    <w:uiPriority w:val="0"/>
    <w:rPr>
      <w:rFonts w:ascii="Courier New" w:hAnsi="Courier New" w:eastAsia="Courier New" w:cs="Courier New"/>
    </w:rPr>
  </w:style>
  <w:style w:type="character" w:customStyle="1" w:styleId="15">
    <w:name w:val="coffee"/>
    <w:basedOn w:val="4"/>
    <w:uiPriority w:val="0"/>
  </w:style>
  <w:style w:type="character" w:customStyle="1" w:styleId="16">
    <w:name w:val="leftside"/>
    <w:basedOn w:val="4"/>
    <w:uiPriority w:val="0"/>
  </w:style>
  <w:style w:type="character" w:customStyle="1" w:styleId="17">
    <w:name w:val="bell11"/>
    <w:basedOn w:val="4"/>
    <w:uiPriority w:val="0"/>
  </w:style>
  <w:style w:type="character" w:customStyle="1" w:styleId="18">
    <w:name w:val="bell2"/>
    <w:basedOn w:val="4"/>
    <w:uiPriority w:val="0"/>
  </w:style>
  <w:style w:type="character" w:customStyle="1" w:styleId="19">
    <w:name w:val="placeholder"/>
    <w:basedOn w:val="4"/>
    <w:uiPriority w:val="0"/>
    <w:rPr>
      <w:vanish/>
    </w:rPr>
  </w:style>
  <w:style w:type="character" w:customStyle="1" w:styleId="20">
    <w:name w:val="todaytit"/>
    <w:basedOn w:val="4"/>
    <w:uiPriority w:val="0"/>
  </w:style>
  <w:style w:type="character" w:customStyle="1" w:styleId="21">
    <w:name w:val="posi"/>
    <w:basedOn w:val="4"/>
    <w:uiPriority w:val="0"/>
    <w:rPr>
      <w:bdr w:val="none" w:color="auto" w:sz="0" w:space="0"/>
    </w:rPr>
  </w:style>
  <w:style w:type="character" w:customStyle="1" w:styleId="22">
    <w:name w:val="itemname4"/>
    <w:basedOn w:val="4"/>
    <w:uiPriority w:val="0"/>
  </w:style>
  <w:style w:type="character" w:customStyle="1" w:styleId="23">
    <w:name w:val="itemname5"/>
    <w:basedOn w:val="4"/>
    <w:uiPriority w:val="0"/>
  </w:style>
  <w:style w:type="character" w:customStyle="1" w:styleId="24">
    <w:name w:val="itemname6"/>
    <w:basedOn w:val="4"/>
    <w:uiPriority w:val="0"/>
  </w:style>
  <w:style w:type="character" w:customStyle="1" w:styleId="25">
    <w:name w:val="js-select2"/>
    <w:basedOn w:val="4"/>
    <w:uiPriority w:val="0"/>
    <w:rPr>
      <w:color w:val="4D4D4D"/>
      <w:sz w:val="18"/>
      <w:szCs w:val="18"/>
      <w:bdr w:val="single" w:color="C7C7C7" w:sz="6" w:space="0"/>
    </w:rPr>
  </w:style>
  <w:style w:type="character" w:customStyle="1" w:styleId="26">
    <w:name w:val="js-select3"/>
    <w:basedOn w:val="4"/>
    <w:uiPriority w:val="0"/>
  </w:style>
  <w:style w:type="character" w:customStyle="1" w:styleId="27">
    <w:name w:val="js-select4"/>
    <w:basedOn w:val="4"/>
    <w:uiPriority w:val="0"/>
  </w:style>
  <w:style w:type="character" w:customStyle="1" w:styleId="28">
    <w:name w:val="js-select5"/>
    <w:basedOn w:val="4"/>
    <w:uiPriority w:val="0"/>
  </w:style>
  <w:style w:type="character" w:customStyle="1" w:styleId="29">
    <w:name w:val="name"/>
    <w:basedOn w:val="4"/>
    <w:uiPriority w:val="0"/>
  </w:style>
  <w:style w:type="character" w:customStyle="1" w:styleId="30">
    <w:name w:val="example"/>
    <w:basedOn w:val="4"/>
    <w:uiPriority w:val="0"/>
    <w:rPr>
      <w:color w:val="CCCCCC"/>
    </w:rPr>
  </w:style>
  <w:style w:type="paragraph" w:styleId="31">
    <w:name w:val=""/>
    <w:basedOn w:val="1"/>
    <w:next w:val="1"/>
    <w:uiPriority w:val="0"/>
    <w:pPr>
      <w:pBdr>
        <w:bottom w:val="single" w:color="auto" w:sz="6" w:space="1"/>
      </w:pBdr>
      <w:jc w:val="center"/>
    </w:pPr>
    <w:rPr>
      <w:rFonts w:ascii="Arial" w:eastAsia="宋体"/>
      <w:vanish/>
      <w:sz w:val="16"/>
    </w:rPr>
  </w:style>
  <w:style w:type="paragraph" w:styleId="3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2024-12-24T05:34:57Z</dcterms:created>
  <dc:creator>Administrator.3FOPQ12X9D0MD86</dc:creator>
  <cp:lastModifiedBy>欧秋杏</cp:lastModifiedBy>
  <dcterms:modified xsi:type="dcterms:W3CDTF">2024-12-24T05:37:06Z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D05121B6D9F94059AE5CF969930C418B_12</vt:lpwstr>
  </property>
</Properties>
</file>